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6E8F" w14:textId="77777777" w:rsidR="000306DC" w:rsidRPr="00F95E74" w:rsidRDefault="000306DC" w:rsidP="00F13836">
      <w:pPr>
        <w:spacing w:after="0"/>
        <w:ind w:left="170" w:right="424"/>
        <w:rPr>
          <w:rFonts w:ascii="Georgia" w:hAnsi="Georgia"/>
          <w:lang w:val="da-DK"/>
        </w:rPr>
      </w:pPr>
      <w:r w:rsidRPr="00F95E74">
        <w:rPr>
          <w:rFonts w:ascii="Georgia" w:hAnsi="Georgia"/>
          <w:lang w:val="da-DK"/>
        </w:rPr>
        <w:t xml:space="preserve">                                                                                                    </w:t>
      </w:r>
      <w:r w:rsidR="005252A9" w:rsidRPr="00F95E74">
        <w:rPr>
          <w:rFonts w:ascii="Georgia" w:hAnsi="Georgia"/>
          <w:lang w:val="da-DK"/>
        </w:rPr>
        <w:t xml:space="preserve">                J.nr: 2022-45-130-246</w:t>
      </w:r>
    </w:p>
    <w:p w14:paraId="0B6E28D0" w14:textId="10472BAC" w:rsidR="005252A9" w:rsidRPr="00F95E74" w:rsidRDefault="005252A9" w:rsidP="00F13836">
      <w:pPr>
        <w:spacing w:after="0"/>
        <w:ind w:left="170" w:right="424"/>
        <w:rPr>
          <w:rFonts w:ascii="Georgia" w:hAnsi="Georgia"/>
          <w:lang w:val="da-DK"/>
        </w:rPr>
      </w:pPr>
      <w:r w:rsidRPr="00F95E74">
        <w:rPr>
          <w:rFonts w:ascii="Georgia" w:hAnsi="Georgia"/>
          <w:lang w:val="da-DK"/>
        </w:rPr>
        <w:t xml:space="preserve">                                                                                                                    Dato: </w:t>
      </w:r>
      <w:r w:rsidR="00322B3F">
        <w:rPr>
          <w:rFonts w:ascii="Georgia" w:hAnsi="Georgia"/>
          <w:lang w:val="da-DK"/>
        </w:rPr>
        <w:t>29. november 2023</w:t>
      </w:r>
    </w:p>
    <w:p w14:paraId="1C206445" w14:textId="77777777" w:rsidR="005252A9" w:rsidRPr="00F95E74" w:rsidRDefault="005252A9" w:rsidP="00F13836">
      <w:pPr>
        <w:spacing w:after="0"/>
        <w:ind w:left="170" w:right="424"/>
        <w:rPr>
          <w:rFonts w:ascii="Georgia" w:hAnsi="Georgia"/>
          <w:lang w:val="da-DK"/>
        </w:rPr>
      </w:pPr>
      <w:r w:rsidRPr="00F95E74">
        <w:rPr>
          <w:rFonts w:ascii="Georgia" w:hAnsi="Georgia"/>
          <w:lang w:val="da-DK"/>
        </w:rPr>
        <w:t xml:space="preserve">                                                                                                                    Ref.: </w:t>
      </w:r>
      <w:proofErr w:type="spellStart"/>
      <w:r w:rsidRPr="00F95E74">
        <w:rPr>
          <w:rFonts w:ascii="Georgia" w:hAnsi="Georgia"/>
          <w:lang w:val="da-DK"/>
        </w:rPr>
        <w:t>jacc</w:t>
      </w:r>
      <w:proofErr w:type="spellEnd"/>
    </w:p>
    <w:p w14:paraId="21B36118" w14:textId="77777777" w:rsidR="000306DC" w:rsidRDefault="000306DC" w:rsidP="00F13836">
      <w:pPr>
        <w:spacing w:after="0"/>
        <w:ind w:left="170" w:right="424"/>
        <w:rPr>
          <w:rFonts w:ascii="Georgia" w:hAnsi="Georgia"/>
          <w:b/>
          <w:lang w:val="da-DK"/>
        </w:rPr>
      </w:pPr>
    </w:p>
    <w:p w14:paraId="79A087C5" w14:textId="77777777" w:rsidR="000306DC" w:rsidRDefault="000306DC" w:rsidP="00F13836">
      <w:pPr>
        <w:spacing w:after="0"/>
        <w:ind w:left="170" w:right="424"/>
        <w:rPr>
          <w:rFonts w:ascii="Georgia" w:hAnsi="Georgia"/>
          <w:b/>
          <w:lang w:val="da-DK"/>
        </w:rPr>
      </w:pPr>
    </w:p>
    <w:p w14:paraId="1E85774C" w14:textId="77777777" w:rsidR="000306DC" w:rsidRDefault="000306DC" w:rsidP="00F13836">
      <w:pPr>
        <w:spacing w:after="0"/>
        <w:ind w:left="170" w:right="424"/>
        <w:rPr>
          <w:rFonts w:ascii="Georgia" w:hAnsi="Georgia"/>
          <w:b/>
          <w:lang w:val="da-DK"/>
        </w:rPr>
      </w:pPr>
    </w:p>
    <w:p w14:paraId="013E534A" w14:textId="3D0E6029" w:rsidR="00F13836" w:rsidRDefault="00E2368A" w:rsidP="00F13836">
      <w:pPr>
        <w:spacing w:after="0"/>
        <w:ind w:left="170" w:right="424"/>
        <w:rPr>
          <w:rFonts w:ascii="Georgia" w:hAnsi="Georgia"/>
          <w:lang w:val="da-DK" w:eastAsia="da-DK"/>
        </w:rPr>
      </w:pPr>
      <w:r w:rsidRPr="007B1D7B">
        <w:rPr>
          <w:rFonts w:ascii="Georgia" w:hAnsi="Georgia"/>
          <w:b/>
          <w:lang w:val="da-DK"/>
        </w:rPr>
        <w:t>Fødevarestyrelsens</w:t>
      </w:r>
      <w:r w:rsidR="00990A11" w:rsidRPr="00F95E74">
        <w:rPr>
          <w:rFonts w:ascii="Georgia" w:hAnsi="Georgia"/>
          <w:b/>
          <w:lang w:val="da-DK"/>
        </w:rPr>
        <w:t xml:space="preserve"> generelle</w:t>
      </w:r>
      <w:r w:rsidRPr="007B1D7B">
        <w:rPr>
          <w:rFonts w:ascii="Georgia" w:hAnsi="Georgia"/>
          <w:b/>
          <w:lang w:val="da-DK"/>
        </w:rPr>
        <w:t xml:space="preserve"> </w:t>
      </w:r>
      <w:r w:rsidR="002D1F6B" w:rsidRPr="007B1D7B">
        <w:rPr>
          <w:rFonts w:ascii="Georgia" w:hAnsi="Georgia"/>
          <w:b/>
          <w:lang w:val="da-DK"/>
        </w:rPr>
        <w:t xml:space="preserve">principper for beregning af gebyrer og af gifter, herunder fastsættelse </w:t>
      </w:r>
      <w:proofErr w:type="gramStart"/>
      <w:r w:rsidR="002D1F6B" w:rsidRPr="007B1D7B">
        <w:rPr>
          <w:rFonts w:ascii="Georgia" w:hAnsi="Georgia"/>
          <w:b/>
          <w:lang w:val="da-DK"/>
        </w:rPr>
        <w:t xml:space="preserve">af </w:t>
      </w:r>
      <w:r w:rsidR="00F13836" w:rsidRPr="007B1D7B">
        <w:rPr>
          <w:rFonts w:ascii="Georgia" w:hAnsi="Georgia"/>
          <w:b/>
          <w:lang w:val="da-DK"/>
        </w:rPr>
        <w:t xml:space="preserve"> fællesomkostninger</w:t>
      </w:r>
      <w:proofErr w:type="gramEnd"/>
      <w:r w:rsidR="00F13836" w:rsidRPr="007B1D7B">
        <w:rPr>
          <w:rFonts w:ascii="Georgia" w:hAnsi="Georgia"/>
          <w:b/>
          <w:lang w:val="da-DK"/>
        </w:rPr>
        <w:t xml:space="preserve"> og</w:t>
      </w:r>
      <w:r w:rsidR="0011460D" w:rsidRPr="007B1D7B">
        <w:rPr>
          <w:rFonts w:ascii="Georgia" w:hAnsi="Georgia"/>
          <w:b/>
          <w:lang w:val="da-DK"/>
        </w:rPr>
        <w:t xml:space="preserve"> udgifter til</w:t>
      </w:r>
      <w:r w:rsidR="00F13836" w:rsidRPr="007B1D7B">
        <w:rPr>
          <w:rFonts w:ascii="Georgia" w:hAnsi="Georgia"/>
          <w:b/>
          <w:lang w:val="da-DK"/>
        </w:rPr>
        <w:t xml:space="preserve"> </w:t>
      </w:r>
      <w:r w:rsidR="00990A11">
        <w:rPr>
          <w:rFonts w:ascii="Georgia" w:hAnsi="Georgia"/>
          <w:b/>
          <w:lang w:val="da-DK"/>
        </w:rPr>
        <w:t>transport</w:t>
      </w:r>
      <w:r w:rsidR="00F13836" w:rsidRPr="00C113AB">
        <w:rPr>
          <w:rFonts w:ascii="Georgia" w:hAnsi="Georgia"/>
          <w:b/>
          <w:lang w:val="da-DK"/>
        </w:rPr>
        <w:br/>
      </w:r>
      <w:r w:rsidR="00A637EE">
        <w:rPr>
          <w:rFonts w:ascii="Georgia" w:hAnsi="Georgia"/>
          <w:lang w:val="da-DK" w:eastAsia="da-DK"/>
        </w:rPr>
        <w:pict w14:anchorId="325F9306">
          <v:rect id="_x0000_i1025" style="width:377.1pt;height:1pt" o:hralign="center" o:hrstd="t" o:hrnoshade="t" o:hr="t" fillcolor="black [3213]" stroked="f"/>
        </w:pict>
      </w:r>
    </w:p>
    <w:p w14:paraId="00C16EC8" w14:textId="77777777" w:rsidR="0047407B" w:rsidRDefault="0047407B" w:rsidP="001A60C4">
      <w:pPr>
        <w:spacing w:after="0"/>
        <w:ind w:right="424"/>
        <w:rPr>
          <w:rFonts w:ascii="Georgia" w:hAnsi="Georgia"/>
          <w:lang w:val="da-DK" w:eastAsia="da-DK"/>
        </w:rPr>
      </w:pPr>
    </w:p>
    <w:p w14:paraId="17C39326" w14:textId="5668CDD6" w:rsidR="002440A5" w:rsidRDefault="002440A5" w:rsidP="002440A5">
      <w:pPr>
        <w:spacing w:after="0"/>
        <w:ind w:right="424"/>
        <w:rPr>
          <w:rFonts w:ascii="Georgia" w:hAnsi="Georgia"/>
          <w:lang w:val="da-DK" w:eastAsia="da-DK"/>
        </w:rPr>
      </w:pPr>
      <w:r>
        <w:rPr>
          <w:rFonts w:ascii="Georgia" w:hAnsi="Georgia"/>
          <w:lang w:val="da-DK" w:eastAsia="da-DK"/>
        </w:rPr>
        <w:t xml:space="preserve">Fødevarestyrelsens gebyrordninger er omfattet af statens regler om finansiering af gebyrbelagt kontrol, jf. budgetvejledningen. Det fremgår af budgetvejledningen, at </w:t>
      </w:r>
      <w:r w:rsidRPr="001A60C4">
        <w:rPr>
          <w:rFonts w:ascii="Georgia" w:hAnsi="Georgia"/>
          <w:lang w:val="da-DK" w:eastAsia="da-DK"/>
        </w:rPr>
        <w:t>taksterne fastsættes</w:t>
      </w:r>
      <w:r w:rsidR="004A3466">
        <w:rPr>
          <w:rFonts w:ascii="Georgia" w:hAnsi="Georgia"/>
          <w:lang w:val="da-DK" w:eastAsia="da-DK"/>
        </w:rPr>
        <w:t>,</w:t>
      </w:r>
      <w:r w:rsidRPr="001A60C4">
        <w:rPr>
          <w:rFonts w:ascii="Georgia" w:hAnsi="Georgia"/>
          <w:lang w:val="da-DK" w:eastAsia="da-DK"/>
        </w:rPr>
        <w:t xml:space="preserve"> </w:t>
      </w:r>
      <w:r w:rsidR="001459C2">
        <w:rPr>
          <w:rFonts w:ascii="Georgia" w:hAnsi="Georgia"/>
          <w:lang w:val="da-DK" w:eastAsia="da-DK"/>
        </w:rPr>
        <w:t xml:space="preserve">så </w:t>
      </w:r>
      <w:r w:rsidRPr="001A60C4">
        <w:rPr>
          <w:rFonts w:ascii="Georgia" w:hAnsi="Georgia"/>
          <w:lang w:val="da-DK" w:eastAsia="da-DK"/>
        </w:rPr>
        <w:t xml:space="preserve">der tilstræbes fuld dækning for de omkostninger, der er forbundet med det pågældende gebyrbelagte område. </w:t>
      </w:r>
      <w:r w:rsidR="001459C2">
        <w:rPr>
          <w:rFonts w:ascii="Georgia" w:hAnsi="Georgia"/>
          <w:lang w:val="da-DK" w:eastAsia="da-DK"/>
        </w:rPr>
        <w:t>V</w:t>
      </w:r>
      <w:r w:rsidRPr="001A60C4">
        <w:rPr>
          <w:rFonts w:ascii="Georgia" w:hAnsi="Georgia"/>
          <w:lang w:val="da-DK" w:eastAsia="da-DK"/>
        </w:rPr>
        <w:t>æsentlige ubalancer mellem indtægter og omkostninger på det enkelte gebyrbelagte område skal tilstræbes udlignet over en periode på maksimalt fire år, fra og med det år</w:t>
      </w:r>
      <w:r w:rsidR="004A3466">
        <w:rPr>
          <w:rFonts w:ascii="Georgia" w:hAnsi="Georgia"/>
          <w:lang w:val="da-DK" w:eastAsia="da-DK"/>
        </w:rPr>
        <w:t>,</w:t>
      </w:r>
      <w:r w:rsidRPr="001A60C4">
        <w:rPr>
          <w:rFonts w:ascii="Georgia" w:hAnsi="Georgia"/>
          <w:lang w:val="da-DK" w:eastAsia="da-DK"/>
        </w:rPr>
        <w:t xml:space="preserve"> hvori ubalancen opstår. </w:t>
      </w:r>
    </w:p>
    <w:p w14:paraId="44F0DDE4" w14:textId="77777777" w:rsidR="0047407B" w:rsidRDefault="0047407B" w:rsidP="001A60C4">
      <w:pPr>
        <w:spacing w:after="0"/>
        <w:ind w:right="424"/>
        <w:rPr>
          <w:rFonts w:ascii="Georgia" w:hAnsi="Georgia"/>
          <w:lang w:val="da-DK" w:eastAsia="da-DK"/>
        </w:rPr>
      </w:pPr>
    </w:p>
    <w:p w14:paraId="677D44F0" w14:textId="77777777" w:rsidR="002440A5" w:rsidRDefault="002440A5" w:rsidP="001A60C4">
      <w:pPr>
        <w:spacing w:after="0"/>
        <w:ind w:right="424"/>
        <w:rPr>
          <w:rFonts w:ascii="Georgia" w:hAnsi="Georgia"/>
          <w:lang w:val="da-DK" w:eastAsia="da-DK"/>
        </w:rPr>
      </w:pPr>
      <w:r>
        <w:rPr>
          <w:rFonts w:ascii="Georgia" w:hAnsi="Georgia"/>
          <w:lang w:val="da-DK" w:eastAsia="da-DK"/>
        </w:rPr>
        <w:t xml:space="preserve">Hovedparten af Fødevarestyrelsens gebyrordninger er endvidere omfattet af reglerne i Kontrolforordningen. </w:t>
      </w:r>
      <w:r w:rsidRPr="001A60C4">
        <w:rPr>
          <w:rFonts w:ascii="Georgia" w:hAnsi="Georgia"/>
          <w:lang w:val="da-DK" w:eastAsia="da-DK"/>
        </w:rPr>
        <w:t xml:space="preserve"> </w:t>
      </w:r>
    </w:p>
    <w:p w14:paraId="4BCA89E5" w14:textId="77777777" w:rsidR="00DD147E" w:rsidRDefault="00DD147E" w:rsidP="001A60C4">
      <w:pPr>
        <w:spacing w:after="0"/>
        <w:ind w:right="424"/>
        <w:rPr>
          <w:rFonts w:ascii="Georgia" w:hAnsi="Georgia"/>
          <w:lang w:val="da-DK" w:eastAsia="da-DK"/>
        </w:rPr>
      </w:pPr>
    </w:p>
    <w:p w14:paraId="341906CF" w14:textId="77777777" w:rsidR="002440A5" w:rsidRDefault="002440A5" w:rsidP="001A60C4">
      <w:pPr>
        <w:spacing w:after="0"/>
        <w:ind w:right="424"/>
        <w:rPr>
          <w:rFonts w:ascii="Georgia" w:hAnsi="Georgia"/>
          <w:lang w:val="da-DK" w:eastAsia="da-DK"/>
        </w:rPr>
      </w:pPr>
      <w:r>
        <w:rPr>
          <w:rFonts w:ascii="Georgia" w:hAnsi="Georgia"/>
          <w:lang w:val="da-DK" w:eastAsia="da-DK"/>
        </w:rPr>
        <w:t>Fødevarestyrelsen fastsætter taksterne således</w:t>
      </w:r>
      <w:r w:rsidR="0067416D">
        <w:rPr>
          <w:rFonts w:ascii="Georgia" w:hAnsi="Georgia"/>
          <w:lang w:val="da-DK" w:eastAsia="da-DK"/>
        </w:rPr>
        <w:t>,</w:t>
      </w:r>
      <w:r>
        <w:rPr>
          <w:rFonts w:ascii="Georgia" w:hAnsi="Georgia"/>
          <w:lang w:val="da-DK" w:eastAsia="da-DK"/>
        </w:rPr>
        <w:t xml:space="preserve"> at de samlede indtægter fra alle takster på gebyrordningen skal dække alle udgifter på gebyrordningen. </w:t>
      </w:r>
      <w:r w:rsidR="00F67964">
        <w:rPr>
          <w:rFonts w:ascii="Georgia" w:hAnsi="Georgia"/>
          <w:lang w:val="da-DK" w:eastAsia="da-DK"/>
        </w:rPr>
        <w:t xml:space="preserve">På en del gebyrordninger opkræves forskellige takster, fx et grundgebyr pr. kontrol, en takst pr. kvarter og evt. andre gebyrer. </w:t>
      </w:r>
    </w:p>
    <w:p w14:paraId="3F270D43" w14:textId="77777777" w:rsidR="002440A5" w:rsidRDefault="002440A5" w:rsidP="001A60C4">
      <w:pPr>
        <w:spacing w:after="0"/>
        <w:ind w:right="424"/>
        <w:rPr>
          <w:rFonts w:ascii="Georgia" w:hAnsi="Georgia"/>
          <w:lang w:val="da-DK" w:eastAsia="da-DK"/>
        </w:rPr>
      </w:pPr>
    </w:p>
    <w:p w14:paraId="5834A9EA" w14:textId="77777777" w:rsidR="002D1F6B" w:rsidRPr="001A60C4" w:rsidRDefault="002D1F6B" w:rsidP="001A60C4">
      <w:pPr>
        <w:spacing w:after="0"/>
        <w:ind w:right="424"/>
        <w:rPr>
          <w:rFonts w:ascii="Georgia" w:hAnsi="Georgia"/>
          <w:lang w:val="da-DK" w:eastAsia="da-DK"/>
        </w:rPr>
      </w:pPr>
      <w:r w:rsidRPr="001A60C4">
        <w:rPr>
          <w:rFonts w:ascii="Georgia" w:hAnsi="Georgia"/>
          <w:lang w:val="da-DK" w:eastAsia="da-DK"/>
        </w:rPr>
        <w:t>En gebyrordning er en afgrænset opgave, som der udarbejdes et særskilt regnskab for og på en</w:t>
      </w:r>
    </w:p>
    <w:p w14:paraId="77676965" w14:textId="77777777" w:rsidR="002D1F6B" w:rsidRPr="001A60C4" w:rsidRDefault="002D1F6B" w:rsidP="001A60C4">
      <w:pPr>
        <w:spacing w:after="0"/>
        <w:ind w:right="424"/>
        <w:rPr>
          <w:rFonts w:ascii="Georgia" w:hAnsi="Georgia"/>
          <w:lang w:val="da-DK" w:eastAsia="da-DK"/>
        </w:rPr>
      </w:pPr>
      <w:r w:rsidRPr="001A60C4">
        <w:rPr>
          <w:rFonts w:ascii="Georgia" w:hAnsi="Georgia"/>
          <w:lang w:val="da-DK" w:eastAsia="da-DK"/>
        </w:rPr>
        <w:t>gebyrordning tilstræbes balance, jf. budgetvejledningens regler.</w:t>
      </w:r>
      <w:r w:rsidR="009F2120" w:rsidRPr="001A60C4">
        <w:rPr>
          <w:rFonts w:ascii="Georgia" w:hAnsi="Georgia"/>
          <w:lang w:val="da-DK" w:eastAsia="da-DK"/>
        </w:rPr>
        <w:t xml:space="preserve"> </w:t>
      </w:r>
      <w:r w:rsidRPr="001A60C4">
        <w:rPr>
          <w:rFonts w:ascii="Georgia" w:hAnsi="Georgia"/>
          <w:lang w:val="da-DK" w:eastAsia="da-DK"/>
        </w:rPr>
        <w:t xml:space="preserve">I Fødevarestyrelsens årsrapport offentliggøres regnskabet for hver enkelt gebyrordning. </w:t>
      </w:r>
      <w:r w:rsidR="00617A49">
        <w:rPr>
          <w:rFonts w:ascii="Georgia" w:hAnsi="Georgia"/>
          <w:lang w:val="da-DK" w:eastAsia="da-DK"/>
        </w:rPr>
        <w:t xml:space="preserve">I regnskabet er de samlede udgifter og </w:t>
      </w:r>
      <w:r w:rsidR="0067416D">
        <w:rPr>
          <w:rFonts w:ascii="Georgia" w:hAnsi="Georgia"/>
          <w:lang w:val="da-DK" w:eastAsia="da-DK"/>
        </w:rPr>
        <w:t xml:space="preserve">indtægter for hver gebyrordning anført. </w:t>
      </w:r>
    </w:p>
    <w:p w14:paraId="55433D67" w14:textId="77777777" w:rsidR="00204691" w:rsidRPr="001A60C4" w:rsidRDefault="00204691" w:rsidP="001A60C4">
      <w:pPr>
        <w:spacing w:after="0"/>
        <w:ind w:right="424"/>
        <w:rPr>
          <w:rFonts w:ascii="Georgia" w:hAnsi="Georgia"/>
          <w:lang w:val="da-DK" w:eastAsia="da-DK"/>
        </w:rPr>
      </w:pPr>
    </w:p>
    <w:p w14:paraId="0F97800C" w14:textId="77777777" w:rsidR="0022501B" w:rsidRDefault="00204691" w:rsidP="0022501B">
      <w:pPr>
        <w:spacing w:after="0"/>
        <w:ind w:right="424"/>
        <w:rPr>
          <w:rFonts w:ascii="Georgia" w:hAnsi="Georgia"/>
          <w:lang w:val="da-DK" w:eastAsia="da-DK"/>
        </w:rPr>
      </w:pPr>
      <w:r w:rsidRPr="001A60C4">
        <w:rPr>
          <w:rFonts w:ascii="Georgia" w:hAnsi="Georgia"/>
          <w:lang w:val="da-DK" w:eastAsia="da-DK"/>
        </w:rPr>
        <w:t>Taksterne for kontrol</w:t>
      </w:r>
      <w:r w:rsidR="00DD147E">
        <w:rPr>
          <w:rFonts w:ascii="Georgia" w:hAnsi="Georgia"/>
          <w:lang w:val="da-DK" w:eastAsia="da-DK"/>
        </w:rPr>
        <w:t xml:space="preserve"> og hjemmel</w:t>
      </w:r>
      <w:r w:rsidRPr="001A60C4">
        <w:rPr>
          <w:rFonts w:ascii="Georgia" w:hAnsi="Georgia"/>
          <w:lang w:val="da-DK" w:eastAsia="da-DK"/>
        </w:rPr>
        <w:t xml:space="preserve"> mv. fremgår af </w:t>
      </w:r>
      <w:r w:rsidR="001E1FD2">
        <w:rPr>
          <w:rFonts w:ascii="Georgia" w:hAnsi="Georgia"/>
          <w:lang w:val="da-DK" w:eastAsia="da-DK"/>
        </w:rPr>
        <w:t>prislisten</w:t>
      </w:r>
      <w:r w:rsidR="00BD0C09">
        <w:rPr>
          <w:rFonts w:ascii="Georgia" w:hAnsi="Georgia"/>
          <w:lang w:val="da-DK" w:eastAsia="da-DK"/>
        </w:rPr>
        <w:t>, som findes på Fødevarestyrelsens hjemmeside</w:t>
      </w:r>
      <w:r w:rsidR="001E1FD2">
        <w:rPr>
          <w:rFonts w:ascii="Georgia" w:hAnsi="Georgia"/>
          <w:lang w:val="da-DK" w:eastAsia="da-DK"/>
        </w:rPr>
        <w:t xml:space="preserve">. </w:t>
      </w:r>
      <w:r w:rsidR="00686561">
        <w:rPr>
          <w:rFonts w:ascii="Georgia" w:hAnsi="Georgia"/>
          <w:lang w:val="da-DK" w:eastAsia="da-DK"/>
        </w:rPr>
        <w:t xml:space="preserve">I prislisten fremgår hjemmel for hver takst også. Hovedparten af Fødevarestyrelsens takster fremgår af </w:t>
      </w:r>
      <w:proofErr w:type="spellStart"/>
      <w:r w:rsidR="00686561">
        <w:rPr>
          <w:rFonts w:ascii="Georgia" w:hAnsi="Georgia"/>
          <w:lang w:val="da-DK" w:eastAsia="da-DK"/>
        </w:rPr>
        <w:t>betalingsbekendtgørelsen</w:t>
      </w:r>
      <w:proofErr w:type="spellEnd"/>
      <w:r w:rsidR="00C51F8C">
        <w:rPr>
          <w:rFonts w:ascii="Georgia" w:hAnsi="Georgia"/>
          <w:lang w:val="da-DK" w:eastAsia="da-DK"/>
        </w:rPr>
        <w:t>, der opdateres den 1. januar hvert år og herudover efter behov</w:t>
      </w:r>
      <w:r w:rsidR="00686561">
        <w:rPr>
          <w:rFonts w:ascii="Georgia" w:hAnsi="Georgia"/>
          <w:lang w:val="da-DK" w:eastAsia="da-DK"/>
        </w:rPr>
        <w:t xml:space="preserve">. </w:t>
      </w:r>
      <w:r w:rsidR="001E1FD2">
        <w:rPr>
          <w:rFonts w:ascii="Georgia" w:hAnsi="Georgia"/>
          <w:lang w:val="da-DK" w:eastAsia="da-DK"/>
        </w:rPr>
        <w:t xml:space="preserve">Det fremgår af prislisten, hvis gebyret opkræves af andre end Fødevarestyrelsen. </w:t>
      </w:r>
    </w:p>
    <w:p w14:paraId="421807DA" w14:textId="77777777" w:rsidR="0022501B" w:rsidRDefault="0022501B" w:rsidP="0022501B">
      <w:pPr>
        <w:spacing w:after="0"/>
        <w:ind w:right="424"/>
        <w:rPr>
          <w:rFonts w:ascii="Georgia" w:hAnsi="Georgia"/>
          <w:lang w:val="da-DK" w:eastAsia="da-DK"/>
        </w:rPr>
      </w:pPr>
    </w:p>
    <w:p w14:paraId="2EF21894" w14:textId="77777777" w:rsidR="0022501B" w:rsidRPr="001A60C4" w:rsidRDefault="0022501B" w:rsidP="0022501B">
      <w:pPr>
        <w:spacing w:after="0"/>
        <w:ind w:right="424"/>
        <w:rPr>
          <w:rFonts w:ascii="Georgia" w:hAnsi="Georgia"/>
          <w:lang w:val="da-DK" w:eastAsia="da-DK"/>
        </w:rPr>
      </w:pPr>
      <w:r>
        <w:rPr>
          <w:rFonts w:ascii="Georgia" w:hAnsi="Georgia"/>
          <w:lang w:val="da-DK" w:eastAsia="da-DK"/>
        </w:rPr>
        <w:t xml:space="preserve">I det følgende beskrives Fødevarestyrelsens generelle principper for beregning af gebyrer og afgifter. Gebyret for kødkontrol på store slagterier samt enkelte andre typer kontrol følger andre principper. Principperne for kødkontrol på store slagterier beskrives også nedenfor. </w:t>
      </w:r>
    </w:p>
    <w:p w14:paraId="18A5AC33" w14:textId="77777777" w:rsidR="002440A5" w:rsidRPr="001A60C4" w:rsidRDefault="002440A5" w:rsidP="001A60C4">
      <w:pPr>
        <w:spacing w:after="0"/>
        <w:ind w:right="424"/>
        <w:rPr>
          <w:rFonts w:ascii="Georgia" w:hAnsi="Georgia"/>
          <w:b/>
          <w:i/>
          <w:lang w:val="da-DK" w:eastAsia="da-DK"/>
        </w:rPr>
      </w:pPr>
    </w:p>
    <w:p w14:paraId="26CBF07A" w14:textId="77777777" w:rsidR="002D1F6B" w:rsidRPr="001A60C4" w:rsidRDefault="002D1F6B" w:rsidP="001A60C4">
      <w:pPr>
        <w:spacing w:after="0"/>
        <w:ind w:right="424"/>
        <w:rPr>
          <w:rFonts w:ascii="Georgia" w:hAnsi="Georgia"/>
          <w:b/>
          <w:lang w:val="da-DK" w:eastAsia="da-DK"/>
        </w:rPr>
      </w:pPr>
      <w:r w:rsidRPr="001A60C4">
        <w:rPr>
          <w:rFonts w:ascii="Georgia" w:hAnsi="Georgia"/>
          <w:b/>
          <w:lang w:val="da-DK" w:eastAsia="da-DK"/>
        </w:rPr>
        <w:t xml:space="preserve">Beregning af </w:t>
      </w:r>
      <w:r w:rsidR="004146EF" w:rsidRPr="001A60C4">
        <w:rPr>
          <w:rFonts w:ascii="Georgia" w:hAnsi="Georgia"/>
          <w:b/>
          <w:lang w:val="da-DK" w:eastAsia="da-DK"/>
        </w:rPr>
        <w:t>gebyrer og afgifter</w:t>
      </w:r>
      <w:r w:rsidR="0022501B">
        <w:rPr>
          <w:rFonts w:ascii="Georgia" w:hAnsi="Georgia"/>
          <w:b/>
          <w:lang w:val="da-DK" w:eastAsia="da-DK"/>
        </w:rPr>
        <w:t xml:space="preserve"> (ekskl. kødkontrol på store slagterier)</w:t>
      </w:r>
    </w:p>
    <w:p w14:paraId="78D54AE3" w14:textId="329C5943" w:rsidR="002D1F6B" w:rsidRPr="001A60C4" w:rsidRDefault="002D1F6B" w:rsidP="001A60C4">
      <w:pPr>
        <w:spacing w:after="0"/>
        <w:ind w:right="424"/>
        <w:rPr>
          <w:rFonts w:ascii="Georgia" w:hAnsi="Georgia"/>
          <w:lang w:val="da-DK" w:eastAsia="da-DK"/>
        </w:rPr>
      </w:pPr>
      <w:r w:rsidRPr="001A60C4">
        <w:rPr>
          <w:rFonts w:ascii="Georgia" w:hAnsi="Georgia"/>
          <w:lang w:val="da-DK" w:eastAsia="da-DK"/>
        </w:rPr>
        <w:t>Omkostningerne på en gebyrordning i Fødevarestyrelsen består overor</w:t>
      </w:r>
      <w:r w:rsidR="002440A5">
        <w:rPr>
          <w:rFonts w:ascii="Georgia" w:hAnsi="Georgia"/>
          <w:lang w:val="da-DK" w:eastAsia="da-DK"/>
        </w:rPr>
        <w:t xml:space="preserve">dnet af </w:t>
      </w:r>
      <w:r w:rsidR="00384E0E">
        <w:rPr>
          <w:rFonts w:ascii="Georgia" w:hAnsi="Georgia"/>
          <w:lang w:val="da-DK" w:eastAsia="da-DK"/>
        </w:rPr>
        <w:t>fire</w:t>
      </w:r>
      <w:r w:rsidR="002440A5">
        <w:rPr>
          <w:rFonts w:ascii="Georgia" w:hAnsi="Georgia"/>
          <w:lang w:val="da-DK" w:eastAsia="da-DK"/>
        </w:rPr>
        <w:t xml:space="preserve"> typer omkostninger. </w:t>
      </w:r>
      <w:r w:rsidRPr="001A60C4">
        <w:rPr>
          <w:rFonts w:ascii="Georgia" w:hAnsi="Georgia"/>
          <w:lang w:val="da-DK" w:eastAsia="da-DK"/>
        </w:rPr>
        <w:t>Det er direkte omkostninger,</w:t>
      </w:r>
      <w:r w:rsidR="00384E0E">
        <w:rPr>
          <w:rFonts w:ascii="Georgia" w:hAnsi="Georgia"/>
          <w:lang w:val="da-DK" w:eastAsia="da-DK"/>
        </w:rPr>
        <w:t xml:space="preserve"> generelle</w:t>
      </w:r>
      <w:r w:rsidRPr="001A60C4">
        <w:rPr>
          <w:rFonts w:ascii="Georgia" w:hAnsi="Georgia"/>
          <w:lang w:val="da-DK" w:eastAsia="da-DK"/>
        </w:rPr>
        <w:t xml:space="preserve"> fællesomkostninger</w:t>
      </w:r>
      <w:r w:rsidR="00384E0E">
        <w:rPr>
          <w:rFonts w:ascii="Georgia" w:hAnsi="Georgia"/>
          <w:lang w:val="da-DK" w:eastAsia="da-DK"/>
        </w:rPr>
        <w:t>, lokale fællesomkostninger</w:t>
      </w:r>
      <w:r w:rsidRPr="001A60C4">
        <w:rPr>
          <w:rFonts w:ascii="Georgia" w:hAnsi="Georgia"/>
          <w:lang w:val="da-DK" w:eastAsia="da-DK"/>
        </w:rPr>
        <w:t xml:space="preserve"> og transportomkostninger. </w:t>
      </w:r>
      <w:r w:rsidR="00F317C9">
        <w:rPr>
          <w:rFonts w:ascii="Georgia" w:hAnsi="Georgia"/>
          <w:lang w:val="da-DK" w:eastAsia="da-DK"/>
        </w:rPr>
        <w:t>Transportomkostninger fordeles kun til de gebyrordninger, hvor der er transport i forbindelse med kontrollen.</w:t>
      </w:r>
    </w:p>
    <w:p w14:paraId="29A6ED1D" w14:textId="77777777" w:rsidR="002D1F6B" w:rsidRPr="001A60C4" w:rsidRDefault="002D1F6B" w:rsidP="001A60C4">
      <w:pPr>
        <w:spacing w:after="0"/>
        <w:ind w:right="424"/>
        <w:rPr>
          <w:rFonts w:ascii="Georgia" w:hAnsi="Georgia"/>
          <w:lang w:val="da-DK" w:eastAsia="da-DK"/>
        </w:rPr>
      </w:pPr>
    </w:p>
    <w:p w14:paraId="03E334C0" w14:textId="77777777" w:rsidR="002D1F6B" w:rsidRPr="001A60C4" w:rsidRDefault="007E3217" w:rsidP="001A60C4">
      <w:pPr>
        <w:spacing w:after="0"/>
        <w:ind w:right="424"/>
        <w:rPr>
          <w:rFonts w:ascii="Georgia" w:hAnsi="Georgia"/>
          <w:i/>
          <w:lang w:val="da-DK" w:eastAsia="da-DK"/>
        </w:rPr>
      </w:pPr>
      <w:r w:rsidRPr="001A60C4">
        <w:rPr>
          <w:rFonts w:ascii="Georgia" w:hAnsi="Georgia"/>
          <w:i/>
          <w:lang w:val="da-DK" w:eastAsia="da-DK"/>
        </w:rPr>
        <w:lastRenderedPageBreak/>
        <w:t>Direkte omkostninger</w:t>
      </w:r>
    </w:p>
    <w:p w14:paraId="3E6B5A9B" w14:textId="77777777" w:rsidR="002D1F6B" w:rsidRPr="001A60C4" w:rsidRDefault="002440A5" w:rsidP="001A60C4">
      <w:pPr>
        <w:spacing w:after="0"/>
        <w:ind w:right="424"/>
        <w:rPr>
          <w:rFonts w:ascii="Georgia" w:hAnsi="Georgia"/>
          <w:lang w:val="da-DK" w:eastAsia="da-DK"/>
        </w:rPr>
      </w:pPr>
      <w:r>
        <w:rPr>
          <w:rFonts w:ascii="Georgia" w:hAnsi="Georgia"/>
          <w:lang w:val="da-DK" w:eastAsia="da-DK"/>
        </w:rPr>
        <w:t>Hvis</w:t>
      </w:r>
      <w:r w:rsidR="009F2120" w:rsidRPr="001A60C4">
        <w:rPr>
          <w:rFonts w:ascii="Georgia" w:hAnsi="Georgia"/>
          <w:lang w:val="da-DK" w:eastAsia="da-DK"/>
        </w:rPr>
        <w:t xml:space="preserve"> en omkostning direkte kan henføres til en gebyrordning, så bogføres den der. En direkte omkostning skal altså kunne henføres direkte til kontrol mv. af en konkret virksomhed eller til en opgave, som alene vedrører gruppen af virksomheder omfattet af gebyrordningen, fx en samlet kontrolplanlægning, som vedrører kontrollen af alle virksomheder på gebyrordningen. Direkte omkostninger kan både være lønomkostninger og øvrig</w:t>
      </w:r>
      <w:r w:rsidR="00BD0C09">
        <w:rPr>
          <w:rFonts w:ascii="Georgia" w:hAnsi="Georgia"/>
          <w:lang w:val="da-DK" w:eastAsia="da-DK"/>
        </w:rPr>
        <w:t>e</w:t>
      </w:r>
      <w:r w:rsidR="009F2120" w:rsidRPr="001A60C4">
        <w:rPr>
          <w:rFonts w:ascii="Georgia" w:hAnsi="Georgia"/>
          <w:lang w:val="da-DK" w:eastAsia="da-DK"/>
        </w:rPr>
        <w:t xml:space="preserve"> driftsomkostninger, fx afskrivninger på et it-system.  </w:t>
      </w:r>
    </w:p>
    <w:p w14:paraId="448A9810" w14:textId="7B8D7B72" w:rsidR="005F2F01" w:rsidRPr="003364AC" w:rsidRDefault="00DD147E" w:rsidP="003364AC">
      <w:pPr>
        <w:spacing w:after="0"/>
        <w:ind w:right="424"/>
        <w:rPr>
          <w:rFonts w:ascii="Georgia" w:hAnsi="Georgia"/>
          <w:lang w:val="da-DK"/>
        </w:rPr>
      </w:pPr>
      <w:r w:rsidRPr="001A60C4">
        <w:rPr>
          <w:rFonts w:ascii="Georgia" w:hAnsi="Georgia"/>
          <w:lang w:val="da-DK" w:eastAsia="da-DK"/>
        </w:rPr>
        <w:t xml:space="preserve"> </w:t>
      </w:r>
      <w:bookmarkStart w:id="0" w:name="_GoBack"/>
      <w:bookmarkEnd w:id="0"/>
    </w:p>
    <w:p w14:paraId="03AC421D" w14:textId="77777777" w:rsidR="005F2F01" w:rsidRPr="001A60C4" w:rsidRDefault="005F2F01" w:rsidP="001A60C4">
      <w:pPr>
        <w:spacing w:after="0"/>
        <w:ind w:right="424"/>
        <w:rPr>
          <w:rFonts w:ascii="Georgia" w:hAnsi="Georgia"/>
          <w:lang w:val="da-DK" w:eastAsia="da-DK"/>
        </w:rPr>
      </w:pPr>
    </w:p>
    <w:p w14:paraId="389A173E" w14:textId="33191AFC" w:rsidR="00F13836" w:rsidRPr="001A60C4" w:rsidRDefault="008A4BEB" w:rsidP="001A60C4">
      <w:pPr>
        <w:spacing w:after="0"/>
        <w:ind w:right="424"/>
        <w:rPr>
          <w:rFonts w:ascii="Georgia" w:hAnsi="Georgia"/>
          <w:i/>
          <w:lang w:val="da-DK" w:eastAsia="da-DK"/>
        </w:rPr>
      </w:pPr>
      <w:r>
        <w:rPr>
          <w:rFonts w:ascii="Georgia" w:hAnsi="Georgia"/>
          <w:i/>
          <w:lang w:val="da-DK" w:eastAsia="da-DK"/>
        </w:rPr>
        <w:t>Generelle fæ</w:t>
      </w:r>
      <w:r w:rsidR="00F13836" w:rsidRPr="001A60C4">
        <w:rPr>
          <w:rFonts w:ascii="Georgia" w:hAnsi="Georgia"/>
          <w:i/>
          <w:lang w:val="da-DK" w:eastAsia="da-DK"/>
        </w:rPr>
        <w:t>llesomkostninger</w:t>
      </w:r>
    </w:p>
    <w:p w14:paraId="5AC29E96" w14:textId="43FC594C" w:rsidR="00641030" w:rsidRDefault="008A4BEB" w:rsidP="00C51F8C">
      <w:pPr>
        <w:spacing w:after="0"/>
        <w:ind w:right="424"/>
        <w:rPr>
          <w:rFonts w:ascii="Georgia" w:hAnsi="Georgia"/>
          <w:lang w:val="da-DK" w:eastAsia="da-DK"/>
        </w:rPr>
      </w:pPr>
      <w:r>
        <w:rPr>
          <w:rFonts w:ascii="Georgia" w:hAnsi="Georgia"/>
          <w:lang w:val="da-DK" w:eastAsia="da-DK"/>
        </w:rPr>
        <w:t>De generelle f</w:t>
      </w:r>
      <w:r w:rsidR="00C51F8C" w:rsidRPr="007B210E">
        <w:rPr>
          <w:rFonts w:ascii="Georgia" w:hAnsi="Georgia"/>
          <w:lang w:val="da-DK" w:eastAsia="da-DK"/>
        </w:rPr>
        <w:t xml:space="preserve">ællesomkostninger </w:t>
      </w:r>
      <w:r w:rsidR="00641030">
        <w:rPr>
          <w:rFonts w:ascii="Georgia" w:hAnsi="Georgia"/>
          <w:lang w:val="da-DK" w:eastAsia="da-DK"/>
        </w:rPr>
        <w:t>er</w:t>
      </w:r>
      <w:r w:rsidR="00641030" w:rsidRPr="007B210E">
        <w:rPr>
          <w:rFonts w:ascii="Georgia" w:hAnsi="Georgia"/>
          <w:lang w:val="da-DK" w:eastAsia="da-DK"/>
        </w:rPr>
        <w:t xml:space="preserve"> </w:t>
      </w:r>
      <w:r w:rsidR="00641030">
        <w:rPr>
          <w:rFonts w:ascii="Georgia" w:hAnsi="Georgia"/>
          <w:lang w:val="da-DK" w:eastAsia="da-DK"/>
        </w:rPr>
        <w:t xml:space="preserve">indirekte </w:t>
      </w:r>
      <w:r w:rsidR="00C51F8C" w:rsidRPr="007B210E">
        <w:rPr>
          <w:rFonts w:ascii="Georgia" w:hAnsi="Georgia"/>
          <w:lang w:val="da-DK" w:eastAsia="da-DK"/>
        </w:rPr>
        <w:t>omkostninger</w:t>
      </w:r>
      <w:r w:rsidR="00C51F8C">
        <w:rPr>
          <w:rFonts w:ascii="Georgia" w:hAnsi="Georgia"/>
          <w:lang w:val="da-DK" w:eastAsia="da-DK"/>
        </w:rPr>
        <w:t xml:space="preserve">, som understøtter varetagelsen </w:t>
      </w:r>
      <w:r w:rsidR="00C51F8C" w:rsidRPr="007B210E">
        <w:rPr>
          <w:rFonts w:ascii="Georgia" w:hAnsi="Georgia"/>
          <w:lang w:val="da-DK" w:eastAsia="da-DK"/>
        </w:rPr>
        <w:t xml:space="preserve">af </w:t>
      </w:r>
      <w:r w:rsidR="0069755D">
        <w:rPr>
          <w:rFonts w:ascii="Georgia" w:hAnsi="Georgia"/>
          <w:lang w:val="da-DK" w:eastAsia="da-DK"/>
        </w:rPr>
        <w:t>de</w:t>
      </w:r>
      <w:r w:rsidR="00E14673">
        <w:rPr>
          <w:rFonts w:ascii="Georgia" w:hAnsi="Georgia"/>
          <w:lang w:val="da-DK" w:eastAsia="da-DK"/>
        </w:rPr>
        <w:t xml:space="preserve"> </w:t>
      </w:r>
      <w:r w:rsidR="00C51F8C" w:rsidRPr="007B210E">
        <w:rPr>
          <w:rFonts w:ascii="Georgia" w:hAnsi="Georgia"/>
          <w:lang w:val="da-DK" w:eastAsia="da-DK"/>
        </w:rPr>
        <w:t>faglige op</w:t>
      </w:r>
      <w:r w:rsidR="00C51F8C">
        <w:rPr>
          <w:rFonts w:ascii="Georgia" w:hAnsi="Georgia"/>
          <w:lang w:val="da-DK" w:eastAsia="da-DK"/>
        </w:rPr>
        <w:t>gaver</w:t>
      </w:r>
      <w:r w:rsidR="00E14673">
        <w:rPr>
          <w:rFonts w:ascii="Georgia" w:hAnsi="Georgia"/>
          <w:lang w:val="da-DK" w:eastAsia="da-DK"/>
        </w:rPr>
        <w:t xml:space="preserve"> i</w:t>
      </w:r>
      <w:r w:rsidR="0069755D">
        <w:rPr>
          <w:rFonts w:ascii="Georgia" w:hAnsi="Georgia"/>
          <w:lang w:val="da-DK" w:eastAsia="da-DK"/>
        </w:rPr>
        <w:t xml:space="preserve"> hele</w:t>
      </w:r>
      <w:r w:rsidR="00E14673">
        <w:rPr>
          <w:rFonts w:ascii="Georgia" w:hAnsi="Georgia"/>
          <w:lang w:val="da-DK" w:eastAsia="da-DK"/>
        </w:rPr>
        <w:t xml:space="preserve"> Fødevarestyrelsen</w:t>
      </w:r>
      <w:r w:rsidR="00C51F8C">
        <w:rPr>
          <w:rFonts w:ascii="Georgia" w:hAnsi="Georgia"/>
          <w:lang w:val="da-DK" w:eastAsia="da-DK"/>
        </w:rPr>
        <w:t xml:space="preserve">. </w:t>
      </w:r>
    </w:p>
    <w:p w14:paraId="0CF4515A" w14:textId="77777777" w:rsidR="00641030" w:rsidRDefault="00641030" w:rsidP="00C51F8C">
      <w:pPr>
        <w:spacing w:after="0"/>
        <w:ind w:right="424"/>
        <w:rPr>
          <w:rFonts w:ascii="Georgia" w:hAnsi="Georgia"/>
          <w:lang w:val="da-DK" w:eastAsia="da-DK"/>
        </w:rPr>
      </w:pPr>
    </w:p>
    <w:p w14:paraId="0A7A66A4" w14:textId="7CFDD994" w:rsidR="00C51F8C" w:rsidRDefault="00C51F8C" w:rsidP="00C51F8C">
      <w:pPr>
        <w:spacing w:after="0"/>
        <w:ind w:right="424"/>
        <w:rPr>
          <w:rFonts w:ascii="Georgia" w:hAnsi="Georgia"/>
          <w:lang w:val="da-DK" w:eastAsia="da-DK"/>
        </w:rPr>
      </w:pPr>
      <w:r w:rsidRPr="007B210E">
        <w:rPr>
          <w:rFonts w:ascii="Georgia" w:hAnsi="Georgia"/>
          <w:lang w:val="da-DK" w:eastAsia="da-DK"/>
        </w:rPr>
        <w:t>Fødevarestyrelsens</w:t>
      </w:r>
      <w:r w:rsidR="00E14673">
        <w:rPr>
          <w:rFonts w:ascii="Georgia" w:hAnsi="Georgia"/>
          <w:lang w:val="da-DK" w:eastAsia="da-DK"/>
        </w:rPr>
        <w:t xml:space="preserve"> generelle</w:t>
      </w:r>
      <w:r w:rsidRPr="007B210E">
        <w:rPr>
          <w:rFonts w:ascii="Georgia" w:hAnsi="Georgia"/>
          <w:lang w:val="da-DK" w:eastAsia="da-DK"/>
        </w:rPr>
        <w:t xml:space="preserve"> fællesomkostninger</w:t>
      </w:r>
      <w:r w:rsidR="004C5E85">
        <w:rPr>
          <w:rFonts w:ascii="Georgia" w:hAnsi="Georgia"/>
          <w:lang w:val="da-DK" w:eastAsia="da-DK"/>
        </w:rPr>
        <w:t xml:space="preserve"> udføres primært i styrelsens centrale administrative enheder og</w:t>
      </w:r>
      <w:r w:rsidRPr="007B210E">
        <w:rPr>
          <w:rFonts w:ascii="Georgia" w:hAnsi="Georgia"/>
          <w:lang w:val="da-DK" w:eastAsia="da-DK"/>
        </w:rPr>
        <w:t xml:space="preserve"> omfatter bl.a. </w:t>
      </w:r>
      <w:r w:rsidR="0081398F">
        <w:rPr>
          <w:rFonts w:ascii="Georgia" w:hAnsi="Georgia"/>
          <w:lang w:val="da-DK" w:eastAsia="da-DK"/>
        </w:rPr>
        <w:t>udgifter</w:t>
      </w:r>
      <w:r w:rsidR="0025750D">
        <w:rPr>
          <w:rFonts w:ascii="Georgia" w:hAnsi="Georgia"/>
          <w:lang w:val="da-DK" w:eastAsia="da-DK"/>
        </w:rPr>
        <w:t xml:space="preserve"> </w:t>
      </w:r>
      <w:r>
        <w:rPr>
          <w:rFonts w:ascii="Georgia" w:hAnsi="Georgia"/>
          <w:lang w:val="da-DK" w:eastAsia="da-DK"/>
        </w:rPr>
        <w:t xml:space="preserve">til </w:t>
      </w:r>
      <w:r w:rsidR="008A4BEB">
        <w:rPr>
          <w:rFonts w:ascii="Georgia" w:hAnsi="Georgia"/>
          <w:lang w:val="da-DK" w:eastAsia="da-DK"/>
        </w:rPr>
        <w:t>direktionen</w:t>
      </w:r>
      <w:r w:rsidR="004C5E85">
        <w:rPr>
          <w:rFonts w:ascii="Georgia" w:hAnsi="Georgia"/>
          <w:lang w:val="da-DK" w:eastAsia="da-DK"/>
        </w:rPr>
        <w:t xml:space="preserve">, </w:t>
      </w:r>
      <w:r w:rsidRPr="007B210E">
        <w:rPr>
          <w:rFonts w:ascii="Georgia" w:hAnsi="Georgia"/>
          <w:lang w:val="da-DK" w:eastAsia="da-DK"/>
        </w:rPr>
        <w:t>økonomistyring</w:t>
      </w:r>
      <w:r w:rsidR="004C5E85">
        <w:rPr>
          <w:rFonts w:ascii="Georgia" w:hAnsi="Georgia"/>
          <w:lang w:val="da-DK" w:eastAsia="da-DK"/>
        </w:rPr>
        <w:t xml:space="preserve">, </w:t>
      </w:r>
      <w:r w:rsidRPr="007B210E">
        <w:rPr>
          <w:rFonts w:ascii="Georgia" w:hAnsi="Georgia"/>
          <w:lang w:val="da-DK" w:eastAsia="da-DK"/>
        </w:rPr>
        <w:t>HR-funktioner</w:t>
      </w:r>
      <w:r w:rsidR="008A4BEB">
        <w:rPr>
          <w:rFonts w:ascii="Georgia" w:hAnsi="Georgia"/>
          <w:lang w:val="da-DK" w:eastAsia="da-DK"/>
        </w:rPr>
        <w:t xml:space="preserve"> og</w:t>
      </w:r>
      <w:r>
        <w:rPr>
          <w:rFonts w:ascii="Georgia" w:hAnsi="Georgia"/>
          <w:lang w:val="da-DK" w:eastAsia="da-DK"/>
        </w:rPr>
        <w:t xml:space="preserve"> visse it-udgifter</w:t>
      </w:r>
      <w:r w:rsidR="004C5E85">
        <w:rPr>
          <w:rFonts w:ascii="Georgia" w:hAnsi="Georgia"/>
          <w:lang w:val="da-DK" w:eastAsia="da-DK"/>
        </w:rPr>
        <w:t>.</w:t>
      </w:r>
    </w:p>
    <w:p w14:paraId="14C04F23" w14:textId="77777777" w:rsidR="00C51F8C" w:rsidRDefault="00C51F8C" w:rsidP="00C51F8C">
      <w:pPr>
        <w:spacing w:after="0"/>
        <w:ind w:right="424"/>
        <w:rPr>
          <w:rFonts w:ascii="Georgia" w:hAnsi="Georgia"/>
          <w:lang w:val="da-DK" w:eastAsia="da-DK"/>
        </w:rPr>
      </w:pPr>
    </w:p>
    <w:p w14:paraId="683445F1" w14:textId="2E6711C4" w:rsidR="0069755D" w:rsidRDefault="00DD147E" w:rsidP="001A60C4">
      <w:pPr>
        <w:spacing w:after="0"/>
        <w:ind w:right="424"/>
        <w:rPr>
          <w:rFonts w:ascii="Georgia" w:hAnsi="Georgia"/>
          <w:lang w:val="da-DK" w:eastAsia="da-DK"/>
        </w:rPr>
      </w:pPr>
      <w:r>
        <w:rPr>
          <w:rFonts w:ascii="Georgia" w:hAnsi="Georgia"/>
          <w:lang w:val="da-DK" w:eastAsia="da-DK"/>
        </w:rPr>
        <w:t xml:space="preserve">En faglig opgave kan være en </w:t>
      </w:r>
      <w:r w:rsidR="0016519D">
        <w:rPr>
          <w:rFonts w:ascii="Georgia" w:hAnsi="Georgia"/>
          <w:lang w:val="da-DK" w:eastAsia="da-DK"/>
        </w:rPr>
        <w:t>k</w:t>
      </w:r>
      <w:r w:rsidR="00192A15">
        <w:rPr>
          <w:rFonts w:ascii="Georgia" w:hAnsi="Georgia"/>
          <w:lang w:val="da-DK" w:eastAsia="da-DK"/>
        </w:rPr>
        <w:t>ontrolo</w:t>
      </w:r>
      <w:r w:rsidR="0016519D">
        <w:rPr>
          <w:rFonts w:ascii="Georgia" w:hAnsi="Georgia"/>
          <w:lang w:val="da-DK" w:eastAsia="da-DK"/>
        </w:rPr>
        <w:t>pgave eller en</w:t>
      </w:r>
      <w:r w:rsidR="00192A15">
        <w:rPr>
          <w:rFonts w:ascii="Georgia" w:hAnsi="Georgia"/>
          <w:lang w:val="da-DK" w:eastAsia="da-DK"/>
        </w:rPr>
        <w:t xml:space="preserve"> anden</w:t>
      </w:r>
      <w:r w:rsidR="0016519D">
        <w:rPr>
          <w:rFonts w:ascii="Georgia" w:hAnsi="Georgia"/>
          <w:lang w:val="da-DK" w:eastAsia="da-DK"/>
        </w:rPr>
        <w:t xml:space="preserve"> type opgave</w:t>
      </w:r>
      <w:r>
        <w:rPr>
          <w:rFonts w:ascii="Georgia" w:hAnsi="Georgia"/>
          <w:lang w:val="da-DK" w:eastAsia="da-DK"/>
        </w:rPr>
        <w:t xml:space="preserve"> finansieret af bevilling på finansloven, en opgave finansieret ved salg af varer og tjenester på markedsvilkår eller en opgave finansieret af gebyrer eller formålsbestemte afgifter.</w:t>
      </w:r>
    </w:p>
    <w:p w14:paraId="154430DD" w14:textId="77777777" w:rsidR="00C24962" w:rsidRDefault="00552FB7" w:rsidP="00C24962">
      <w:pPr>
        <w:spacing w:after="0"/>
        <w:ind w:right="424"/>
        <w:rPr>
          <w:rFonts w:ascii="Georgia" w:hAnsi="Georgia"/>
          <w:lang w:val="da-DK" w:eastAsia="da-DK"/>
        </w:rPr>
      </w:pPr>
      <w:r w:rsidRPr="003364AC">
        <w:rPr>
          <w:rFonts w:ascii="Georgia" w:hAnsi="Georgia"/>
          <w:lang w:val="da-DK"/>
        </w:rPr>
        <w:t xml:space="preserve"> </w:t>
      </w:r>
    </w:p>
    <w:p w14:paraId="2EE60042" w14:textId="386C0C49" w:rsidR="001E41B4" w:rsidRDefault="001E41B4" w:rsidP="00C24962">
      <w:pPr>
        <w:spacing w:after="0"/>
        <w:ind w:right="424"/>
        <w:rPr>
          <w:rFonts w:ascii="Georgia" w:hAnsi="Georgia"/>
          <w:lang w:val="da-DK" w:eastAsia="da-DK"/>
        </w:rPr>
      </w:pPr>
      <w:r>
        <w:rPr>
          <w:rFonts w:ascii="Georgia" w:hAnsi="Georgia"/>
          <w:lang w:val="da-DK" w:eastAsia="da-DK"/>
        </w:rPr>
        <w:t>Fødevarestyrelsens generelle fællesomkostninger fordeles ud på de faglige opgaver proportionalt med</w:t>
      </w:r>
      <w:r w:rsidR="007C520E" w:rsidRPr="002E2703">
        <w:rPr>
          <w:rFonts w:ascii="Georgia" w:hAnsi="Georgia"/>
          <w:lang w:val="da-DK" w:eastAsia="da-DK"/>
        </w:rPr>
        <w:t xml:space="preserve"> </w:t>
      </w:r>
      <w:r w:rsidR="007C520E">
        <w:rPr>
          <w:rFonts w:ascii="Georgia" w:hAnsi="Georgia"/>
          <w:lang w:val="da-DK" w:eastAsia="da-DK"/>
        </w:rPr>
        <w:t xml:space="preserve">de </w:t>
      </w:r>
      <w:r w:rsidR="007C520E" w:rsidRPr="002E2703">
        <w:rPr>
          <w:rFonts w:ascii="Georgia" w:hAnsi="Georgia"/>
          <w:lang w:val="da-DK" w:eastAsia="da-DK"/>
        </w:rPr>
        <w:t>direkte lønomkostninger</w:t>
      </w:r>
      <w:r w:rsidR="007C520E">
        <w:rPr>
          <w:rFonts w:ascii="Georgia" w:hAnsi="Georgia"/>
          <w:lang w:val="da-DK" w:eastAsia="da-DK"/>
        </w:rPr>
        <w:t xml:space="preserve"> til udførelsen af</w:t>
      </w:r>
      <w:r>
        <w:rPr>
          <w:rFonts w:ascii="Georgia" w:hAnsi="Georgia"/>
          <w:lang w:val="da-DK" w:eastAsia="da-DK"/>
        </w:rPr>
        <w:t xml:space="preserve"> de</w:t>
      </w:r>
      <w:r w:rsidRPr="002E2703">
        <w:rPr>
          <w:rFonts w:ascii="Georgia" w:hAnsi="Georgia"/>
          <w:lang w:val="da-DK" w:eastAsia="da-DK"/>
        </w:rPr>
        <w:t xml:space="preserve"> </w:t>
      </w:r>
      <w:r>
        <w:rPr>
          <w:rFonts w:ascii="Georgia" w:hAnsi="Georgia"/>
          <w:lang w:val="da-DK" w:eastAsia="da-DK"/>
        </w:rPr>
        <w:t>faglige opgaver.</w:t>
      </w:r>
    </w:p>
    <w:p w14:paraId="24202F47" w14:textId="01C279B5" w:rsidR="0069755D" w:rsidRDefault="0069755D" w:rsidP="00C24962">
      <w:pPr>
        <w:spacing w:after="0"/>
        <w:ind w:right="424"/>
        <w:rPr>
          <w:rFonts w:ascii="Georgia" w:hAnsi="Georgia"/>
          <w:lang w:val="da-DK" w:eastAsia="da-DK"/>
        </w:rPr>
      </w:pPr>
    </w:p>
    <w:p w14:paraId="1CC3D019" w14:textId="1F132388" w:rsidR="0069755D" w:rsidRDefault="0069755D" w:rsidP="00C24962">
      <w:pPr>
        <w:spacing w:after="0"/>
        <w:ind w:right="424"/>
        <w:rPr>
          <w:rFonts w:ascii="Georgia" w:hAnsi="Georgia"/>
          <w:lang w:val="da-DK" w:eastAsia="da-DK"/>
        </w:rPr>
      </w:pPr>
      <w:r>
        <w:rPr>
          <w:rFonts w:ascii="Georgia" w:hAnsi="Georgia"/>
          <w:lang w:val="da-DK" w:eastAsia="da-DK"/>
        </w:rPr>
        <w:t>Fødevarestyrelsens kødkontrol har en særlig fordeling af fællesomkostninger, som følger andre principper.</w:t>
      </w:r>
    </w:p>
    <w:p w14:paraId="5996E2DE" w14:textId="3E1D4E63" w:rsidR="00B46192" w:rsidRPr="003364AC" w:rsidRDefault="00B46192" w:rsidP="00552FB7">
      <w:pPr>
        <w:pStyle w:val="NormalWeb"/>
        <w:spacing w:before="0" w:beforeAutospacing="0" w:after="0" w:afterAutospacing="0"/>
        <w:rPr>
          <w:rFonts w:ascii="Georgia" w:hAnsi="Georgia"/>
        </w:rPr>
      </w:pPr>
    </w:p>
    <w:p w14:paraId="7FCF309E" w14:textId="17A4F4A8" w:rsidR="00B46192" w:rsidRPr="003364AC" w:rsidRDefault="00F20EC0" w:rsidP="001A60C4">
      <w:pPr>
        <w:spacing w:after="0"/>
        <w:ind w:right="424"/>
        <w:rPr>
          <w:rFonts w:ascii="Georgia" w:hAnsi="Georgia"/>
          <w:i/>
          <w:lang w:val="da-DK" w:eastAsia="da-DK"/>
        </w:rPr>
      </w:pPr>
      <w:r w:rsidRPr="003364AC">
        <w:rPr>
          <w:rFonts w:ascii="Georgia" w:hAnsi="Georgia"/>
          <w:i/>
          <w:lang w:val="da-DK" w:eastAsia="da-DK"/>
        </w:rPr>
        <w:t>Lokale fællesomkostninger</w:t>
      </w:r>
    </w:p>
    <w:p w14:paraId="0808850C" w14:textId="2B4FAA3A" w:rsidR="007C520E" w:rsidRDefault="001A52FD" w:rsidP="00555D05">
      <w:pPr>
        <w:spacing w:after="0"/>
        <w:ind w:right="424"/>
        <w:rPr>
          <w:rFonts w:ascii="Georgia" w:hAnsi="Georgia"/>
          <w:lang w:val="da-DK" w:eastAsia="da-DK"/>
        </w:rPr>
      </w:pPr>
      <w:r>
        <w:rPr>
          <w:rFonts w:ascii="Georgia" w:hAnsi="Georgia"/>
          <w:lang w:val="da-DK" w:eastAsia="da-DK"/>
        </w:rPr>
        <w:t xml:space="preserve">Lokale fællesomkostninger er </w:t>
      </w:r>
      <w:r w:rsidR="00323FF6">
        <w:rPr>
          <w:rFonts w:ascii="Georgia" w:hAnsi="Georgia"/>
          <w:lang w:val="da-DK" w:eastAsia="da-DK"/>
        </w:rPr>
        <w:t xml:space="preserve">indirekte </w:t>
      </w:r>
      <w:r w:rsidR="00323FF6" w:rsidRPr="007B210E">
        <w:rPr>
          <w:rFonts w:ascii="Georgia" w:hAnsi="Georgia"/>
          <w:lang w:val="da-DK" w:eastAsia="da-DK"/>
        </w:rPr>
        <w:t>omkostninger</w:t>
      </w:r>
      <w:r w:rsidR="0069755D" w:rsidRPr="0069755D">
        <w:rPr>
          <w:rFonts w:ascii="Georgia" w:hAnsi="Georgia"/>
          <w:lang w:val="da-DK" w:eastAsia="da-DK"/>
        </w:rPr>
        <w:t xml:space="preserve"> </w:t>
      </w:r>
      <w:r w:rsidR="0069755D">
        <w:rPr>
          <w:rFonts w:ascii="Georgia" w:hAnsi="Georgia"/>
          <w:lang w:val="da-DK" w:eastAsia="da-DK"/>
        </w:rPr>
        <w:t>i de enheder, der udfører de faglige opgaver</w:t>
      </w:r>
      <w:r w:rsidR="008F79DD">
        <w:rPr>
          <w:rFonts w:ascii="Georgia" w:hAnsi="Georgia"/>
          <w:lang w:val="da-DK" w:eastAsia="da-DK"/>
        </w:rPr>
        <w:t>. De lokale fællesomkostninger</w:t>
      </w:r>
      <w:r w:rsidR="004C5E85">
        <w:rPr>
          <w:rFonts w:ascii="Georgia" w:hAnsi="Georgia"/>
          <w:lang w:val="da-DK" w:eastAsia="da-DK"/>
        </w:rPr>
        <w:t xml:space="preserve"> understøtter </w:t>
      </w:r>
      <w:r w:rsidR="0069755D">
        <w:rPr>
          <w:rFonts w:ascii="Georgia" w:hAnsi="Georgia"/>
          <w:lang w:val="da-DK" w:eastAsia="da-DK"/>
        </w:rPr>
        <w:t xml:space="preserve">enhedernes egen </w:t>
      </w:r>
      <w:r w:rsidR="004C5E85">
        <w:rPr>
          <w:rFonts w:ascii="Georgia" w:hAnsi="Georgia"/>
          <w:lang w:val="da-DK" w:eastAsia="da-DK"/>
        </w:rPr>
        <w:t xml:space="preserve">varetagelse </w:t>
      </w:r>
      <w:r w:rsidR="004C5E85" w:rsidRPr="007B210E">
        <w:rPr>
          <w:rFonts w:ascii="Georgia" w:hAnsi="Georgia"/>
          <w:lang w:val="da-DK" w:eastAsia="da-DK"/>
        </w:rPr>
        <w:t>af</w:t>
      </w:r>
      <w:r w:rsidR="004C5E85">
        <w:rPr>
          <w:rFonts w:ascii="Georgia" w:hAnsi="Georgia"/>
          <w:lang w:val="da-DK" w:eastAsia="da-DK"/>
        </w:rPr>
        <w:t xml:space="preserve"> </w:t>
      </w:r>
      <w:r w:rsidR="004C5E85" w:rsidRPr="007B210E">
        <w:rPr>
          <w:rFonts w:ascii="Georgia" w:hAnsi="Georgia"/>
          <w:lang w:val="da-DK" w:eastAsia="da-DK"/>
        </w:rPr>
        <w:t>faglige op</w:t>
      </w:r>
      <w:r w:rsidR="004C5E85">
        <w:rPr>
          <w:rFonts w:ascii="Georgia" w:hAnsi="Georgia"/>
          <w:lang w:val="da-DK" w:eastAsia="da-DK"/>
        </w:rPr>
        <w:t xml:space="preserve">gaver. De lokale fællesomkostninger omfatter </w:t>
      </w:r>
      <w:r>
        <w:rPr>
          <w:rFonts w:ascii="Georgia" w:hAnsi="Georgia"/>
          <w:lang w:val="da-DK" w:eastAsia="da-DK"/>
        </w:rPr>
        <w:t>bl.a. udgifter til</w:t>
      </w:r>
      <w:r w:rsidR="0069755D">
        <w:rPr>
          <w:rFonts w:ascii="Georgia" w:hAnsi="Georgia"/>
          <w:lang w:val="da-DK" w:eastAsia="da-DK"/>
        </w:rPr>
        <w:t xml:space="preserve"> enhedernes</w:t>
      </w:r>
      <w:r>
        <w:rPr>
          <w:rFonts w:ascii="Georgia" w:hAnsi="Georgia"/>
          <w:lang w:val="da-DK" w:eastAsia="da-DK"/>
        </w:rPr>
        <w:t xml:space="preserve"> </w:t>
      </w:r>
      <w:r w:rsidR="0069755D">
        <w:rPr>
          <w:rFonts w:ascii="Georgia" w:hAnsi="Georgia"/>
          <w:lang w:val="da-DK" w:eastAsia="da-DK"/>
        </w:rPr>
        <w:t xml:space="preserve">lokale </w:t>
      </w:r>
      <w:r>
        <w:rPr>
          <w:rFonts w:ascii="Georgia" w:hAnsi="Georgia"/>
          <w:lang w:val="da-DK" w:eastAsia="da-DK"/>
        </w:rPr>
        <w:t xml:space="preserve">ledelse, kompetenceudvikling, </w:t>
      </w:r>
      <w:r w:rsidR="007C520E">
        <w:rPr>
          <w:rFonts w:ascii="Georgia" w:hAnsi="Georgia"/>
          <w:lang w:val="da-DK" w:eastAsia="da-DK"/>
        </w:rPr>
        <w:t>hus</w:t>
      </w:r>
      <w:r w:rsidR="009A2E05">
        <w:rPr>
          <w:rFonts w:ascii="Georgia" w:hAnsi="Georgia"/>
          <w:lang w:val="da-DK" w:eastAsia="da-DK"/>
        </w:rPr>
        <w:t>leje</w:t>
      </w:r>
      <w:r w:rsidR="007C520E">
        <w:rPr>
          <w:rFonts w:ascii="Georgia" w:hAnsi="Georgia"/>
          <w:lang w:val="da-DK" w:eastAsia="da-DK"/>
        </w:rPr>
        <w:t xml:space="preserve"> og </w:t>
      </w:r>
      <w:r w:rsidR="009A2E05">
        <w:rPr>
          <w:rFonts w:ascii="Georgia" w:hAnsi="Georgia"/>
          <w:lang w:val="da-DK" w:eastAsia="da-DK"/>
        </w:rPr>
        <w:t>bygningsdrift,</w:t>
      </w:r>
      <w:r w:rsidR="004C5E85">
        <w:rPr>
          <w:rFonts w:ascii="Georgia" w:hAnsi="Georgia"/>
          <w:lang w:val="da-DK" w:eastAsia="da-DK"/>
        </w:rPr>
        <w:t xml:space="preserve"> </w:t>
      </w:r>
      <w:r>
        <w:rPr>
          <w:rFonts w:ascii="Georgia" w:hAnsi="Georgia"/>
          <w:lang w:val="da-DK" w:eastAsia="da-DK"/>
        </w:rPr>
        <w:t>sekretærfunktioner mv.</w:t>
      </w:r>
    </w:p>
    <w:p w14:paraId="6C265CA6" w14:textId="77777777" w:rsidR="007C520E" w:rsidRDefault="007C520E" w:rsidP="00555D05">
      <w:pPr>
        <w:spacing w:after="0"/>
        <w:ind w:right="424"/>
        <w:rPr>
          <w:rFonts w:ascii="Georgia" w:hAnsi="Georgia"/>
          <w:lang w:val="da-DK" w:eastAsia="da-DK"/>
        </w:rPr>
      </w:pPr>
    </w:p>
    <w:p w14:paraId="38091121" w14:textId="2528C64C" w:rsidR="00555D05" w:rsidRDefault="00323FF6" w:rsidP="00555D05">
      <w:pPr>
        <w:spacing w:after="0"/>
        <w:ind w:right="424"/>
        <w:rPr>
          <w:rFonts w:ascii="Georgia" w:hAnsi="Georgia"/>
          <w:lang w:val="da-DK" w:eastAsia="da-DK"/>
        </w:rPr>
      </w:pPr>
      <w:r>
        <w:rPr>
          <w:rFonts w:ascii="Georgia" w:hAnsi="Georgia"/>
          <w:lang w:val="da-DK" w:eastAsia="da-DK"/>
        </w:rPr>
        <w:t xml:space="preserve">Enhedernes </w:t>
      </w:r>
      <w:r w:rsidR="009A2E05">
        <w:rPr>
          <w:rFonts w:ascii="Georgia" w:hAnsi="Georgia"/>
          <w:lang w:val="da-DK" w:eastAsia="da-DK"/>
        </w:rPr>
        <w:t>lokale fællesomkostninger fordeles</w:t>
      </w:r>
      <w:r w:rsidR="00F07D02">
        <w:rPr>
          <w:rFonts w:ascii="Georgia" w:hAnsi="Georgia"/>
          <w:lang w:val="da-DK" w:eastAsia="da-DK"/>
        </w:rPr>
        <w:t xml:space="preserve"> </w:t>
      </w:r>
      <w:r w:rsidR="0069755D">
        <w:rPr>
          <w:rFonts w:ascii="Georgia" w:hAnsi="Georgia"/>
          <w:lang w:val="da-DK" w:eastAsia="da-DK"/>
        </w:rPr>
        <w:t>internt</w:t>
      </w:r>
      <w:r w:rsidR="007C520E">
        <w:rPr>
          <w:rFonts w:ascii="Georgia" w:hAnsi="Georgia"/>
          <w:lang w:val="da-DK" w:eastAsia="da-DK"/>
        </w:rPr>
        <w:t xml:space="preserve"> </w:t>
      </w:r>
      <w:r w:rsidR="00F07D02">
        <w:rPr>
          <w:rFonts w:ascii="Georgia" w:hAnsi="Georgia"/>
          <w:lang w:val="da-DK" w:eastAsia="da-DK"/>
        </w:rPr>
        <w:t xml:space="preserve">på </w:t>
      </w:r>
      <w:r>
        <w:rPr>
          <w:rFonts w:ascii="Georgia" w:hAnsi="Georgia"/>
          <w:lang w:val="da-DK" w:eastAsia="da-DK"/>
        </w:rPr>
        <w:t>enhedernes</w:t>
      </w:r>
      <w:r w:rsidR="00F07D02">
        <w:rPr>
          <w:rFonts w:ascii="Georgia" w:hAnsi="Georgia"/>
          <w:lang w:val="da-DK" w:eastAsia="da-DK"/>
        </w:rPr>
        <w:t xml:space="preserve"> faglige opgaver</w:t>
      </w:r>
      <w:r w:rsidR="00611313">
        <w:rPr>
          <w:rFonts w:ascii="Georgia" w:hAnsi="Georgia"/>
          <w:lang w:val="da-DK" w:eastAsia="da-DK"/>
        </w:rPr>
        <w:t xml:space="preserve"> proportionalt med enhedernes</w:t>
      </w:r>
      <w:r w:rsidR="00611313" w:rsidRPr="002E2703">
        <w:rPr>
          <w:rFonts w:ascii="Georgia" w:hAnsi="Georgia"/>
          <w:lang w:val="da-DK" w:eastAsia="da-DK"/>
        </w:rPr>
        <w:t xml:space="preserve"> direkte lønomkostni</w:t>
      </w:r>
      <w:r w:rsidR="00611313">
        <w:rPr>
          <w:rFonts w:ascii="Georgia" w:hAnsi="Georgia"/>
          <w:lang w:val="da-DK" w:eastAsia="da-DK"/>
        </w:rPr>
        <w:t>nger til udførelsen af de faglige opgaver</w:t>
      </w:r>
      <w:r w:rsidR="00555D05">
        <w:rPr>
          <w:rFonts w:ascii="Georgia" w:hAnsi="Georgia"/>
          <w:lang w:val="da-DK" w:eastAsia="da-DK"/>
        </w:rPr>
        <w:t>.</w:t>
      </w:r>
      <w:r w:rsidR="00555D05" w:rsidRPr="002E2703">
        <w:rPr>
          <w:rFonts w:ascii="Georgia" w:hAnsi="Georgia"/>
          <w:lang w:val="da-DK" w:eastAsia="da-DK"/>
        </w:rPr>
        <w:t xml:space="preserve"> </w:t>
      </w:r>
    </w:p>
    <w:p w14:paraId="6ADBC1E5" w14:textId="120A8125" w:rsidR="00F20EC0" w:rsidRDefault="00F20EC0" w:rsidP="001A60C4">
      <w:pPr>
        <w:spacing w:after="0"/>
        <w:ind w:right="424"/>
        <w:rPr>
          <w:rFonts w:ascii="Georgia" w:hAnsi="Georgia"/>
          <w:lang w:val="da-DK" w:eastAsia="da-DK"/>
        </w:rPr>
      </w:pPr>
    </w:p>
    <w:p w14:paraId="5B6F313C" w14:textId="77777777" w:rsidR="007E3217" w:rsidRPr="001A60C4" w:rsidRDefault="007E3217" w:rsidP="001A60C4">
      <w:pPr>
        <w:spacing w:after="0"/>
        <w:ind w:right="424"/>
        <w:rPr>
          <w:rFonts w:ascii="Georgia" w:hAnsi="Georgia"/>
          <w:i/>
          <w:lang w:val="da-DK" w:eastAsia="da-DK"/>
        </w:rPr>
      </w:pPr>
      <w:r w:rsidRPr="001A60C4">
        <w:rPr>
          <w:rFonts w:ascii="Georgia" w:hAnsi="Georgia"/>
          <w:i/>
          <w:lang w:val="da-DK" w:eastAsia="da-DK"/>
        </w:rPr>
        <w:t>Transportomkostninger</w:t>
      </w:r>
    </w:p>
    <w:p w14:paraId="459F7FEC" w14:textId="15F133B8" w:rsidR="00865B5F" w:rsidRPr="003364AC" w:rsidRDefault="0017780A">
      <w:pPr>
        <w:spacing w:after="0"/>
        <w:ind w:right="424"/>
        <w:rPr>
          <w:rFonts w:ascii="Georgia" w:hAnsi="Georgia"/>
          <w:lang w:val="da-DK" w:eastAsia="da-DK"/>
        </w:rPr>
      </w:pPr>
      <w:r w:rsidRPr="00EA736F">
        <w:rPr>
          <w:rFonts w:ascii="Georgia" w:hAnsi="Georgia"/>
          <w:lang w:val="da-DK" w:eastAsia="da-DK"/>
        </w:rPr>
        <w:t xml:space="preserve">Transportomkostninger </w:t>
      </w:r>
      <w:r w:rsidR="006D7580" w:rsidRPr="00EA736F">
        <w:rPr>
          <w:rFonts w:ascii="Georgia" w:hAnsi="Georgia"/>
          <w:lang w:val="da-DK" w:eastAsia="da-DK"/>
        </w:rPr>
        <w:t xml:space="preserve">er </w:t>
      </w:r>
      <w:r w:rsidR="00F13836" w:rsidRPr="00EA736F">
        <w:rPr>
          <w:rFonts w:ascii="Georgia" w:hAnsi="Georgia"/>
          <w:lang w:val="da-DK" w:eastAsia="da-DK"/>
        </w:rPr>
        <w:t xml:space="preserve">omkostninger </w:t>
      </w:r>
      <w:r w:rsidR="006D7580" w:rsidRPr="00EA736F">
        <w:rPr>
          <w:rFonts w:ascii="Georgia" w:hAnsi="Georgia"/>
          <w:lang w:val="da-DK" w:eastAsia="da-DK"/>
        </w:rPr>
        <w:t xml:space="preserve">forbundet med </w:t>
      </w:r>
      <w:r w:rsidR="00F13836" w:rsidRPr="00EA736F">
        <w:rPr>
          <w:rFonts w:ascii="Georgia" w:hAnsi="Georgia"/>
          <w:lang w:val="da-DK" w:eastAsia="da-DK"/>
        </w:rPr>
        <w:t>transport til og fra</w:t>
      </w:r>
      <w:r w:rsidR="006D7580" w:rsidRPr="00EA736F">
        <w:rPr>
          <w:rFonts w:ascii="Georgia" w:hAnsi="Georgia"/>
          <w:lang w:val="da-DK" w:eastAsia="da-DK"/>
        </w:rPr>
        <w:t xml:space="preserve"> kontrol på </w:t>
      </w:r>
      <w:r w:rsidR="00F13836" w:rsidRPr="00EA736F">
        <w:rPr>
          <w:rFonts w:ascii="Georgia" w:hAnsi="Georgia"/>
          <w:lang w:val="da-DK" w:eastAsia="da-DK"/>
        </w:rPr>
        <w:t>virksomhederne</w:t>
      </w:r>
      <w:r w:rsidR="006D7580" w:rsidRPr="00EA736F">
        <w:rPr>
          <w:rFonts w:ascii="Georgia" w:hAnsi="Georgia"/>
          <w:lang w:val="da-DK" w:eastAsia="da-DK"/>
        </w:rPr>
        <w:t xml:space="preserve"> og </w:t>
      </w:r>
      <w:r w:rsidR="00F13836" w:rsidRPr="00EA736F">
        <w:rPr>
          <w:rFonts w:ascii="Georgia" w:hAnsi="Georgia"/>
          <w:lang w:val="da-DK" w:eastAsia="da-DK"/>
        </w:rPr>
        <w:t>besætningerne</w:t>
      </w:r>
      <w:r w:rsidR="006D7580" w:rsidRPr="00EA736F">
        <w:rPr>
          <w:rFonts w:ascii="Georgia" w:hAnsi="Georgia"/>
          <w:lang w:val="da-DK" w:eastAsia="da-DK"/>
        </w:rPr>
        <w:t xml:space="preserve">, herunder </w:t>
      </w:r>
      <w:r w:rsidR="00097371" w:rsidRPr="00EA736F">
        <w:rPr>
          <w:rFonts w:ascii="Georgia" w:hAnsi="Georgia"/>
          <w:lang w:val="da-DK" w:eastAsia="da-DK"/>
        </w:rPr>
        <w:t>især</w:t>
      </w:r>
      <w:r w:rsidR="00EA736F">
        <w:rPr>
          <w:rFonts w:ascii="Georgia" w:hAnsi="Georgia"/>
          <w:lang w:val="da-DK" w:eastAsia="da-DK"/>
        </w:rPr>
        <w:t xml:space="preserve"> t</w:t>
      </w:r>
      <w:r w:rsidR="00F13836" w:rsidRPr="003364AC">
        <w:rPr>
          <w:rFonts w:ascii="Georgia" w:hAnsi="Georgia"/>
          <w:lang w:val="da-DK" w:eastAsia="da-DK"/>
        </w:rPr>
        <w:t>idsforbrug</w:t>
      </w:r>
      <w:r w:rsidR="00865B5F" w:rsidRPr="003364AC">
        <w:rPr>
          <w:rFonts w:ascii="Georgia" w:hAnsi="Georgia"/>
          <w:lang w:val="da-DK" w:eastAsia="da-DK"/>
        </w:rPr>
        <w:t>et</w:t>
      </w:r>
      <w:r w:rsidR="00F13836" w:rsidRPr="003364AC">
        <w:rPr>
          <w:rFonts w:ascii="Georgia" w:hAnsi="Georgia"/>
          <w:lang w:val="da-DK" w:eastAsia="da-DK"/>
        </w:rPr>
        <w:t xml:space="preserve"> </w:t>
      </w:r>
      <w:r w:rsidR="006D7580" w:rsidRPr="003364AC">
        <w:rPr>
          <w:rFonts w:ascii="Georgia" w:hAnsi="Georgia"/>
          <w:lang w:val="da-DK" w:eastAsia="da-DK"/>
        </w:rPr>
        <w:t xml:space="preserve">til transporten, </w:t>
      </w:r>
      <w:r w:rsidR="006D7580" w:rsidRPr="00EA736F">
        <w:rPr>
          <w:rFonts w:ascii="Georgia" w:hAnsi="Georgia"/>
          <w:lang w:val="da-DK" w:eastAsia="da-DK"/>
        </w:rPr>
        <w:t>rejseafregning for kørsel</w:t>
      </w:r>
      <w:r w:rsidR="00865B5F" w:rsidRPr="00EA736F">
        <w:rPr>
          <w:rFonts w:ascii="Georgia" w:hAnsi="Georgia"/>
          <w:lang w:val="da-DK" w:eastAsia="da-DK"/>
        </w:rPr>
        <w:t xml:space="preserve"> i medarbejdernes egne køretøjer </w:t>
      </w:r>
      <w:r w:rsidR="006D7580" w:rsidRPr="00EA736F">
        <w:rPr>
          <w:rFonts w:ascii="Georgia" w:hAnsi="Georgia"/>
          <w:lang w:val="da-DK" w:eastAsia="da-DK"/>
        </w:rPr>
        <w:t xml:space="preserve">og </w:t>
      </w:r>
      <w:r w:rsidR="00865B5F" w:rsidRPr="003364AC">
        <w:rPr>
          <w:rFonts w:ascii="Georgia" w:hAnsi="Georgia"/>
          <w:lang w:val="da-DK" w:eastAsia="da-DK"/>
        </w:rPr>
        <w:t>drift af</w:t>
      </w:r>
      <w:r w:rsidR="00ED25FF" w:rsidRPr="003364AC">
        <w:rPr>
          <w:rFonts w:ascii="Georgia" w:hAnsi="Georgia"/>
          <w:lang w:val="da-DK" w:eastAsia="da-DK"/>
        </w:rPr>
        <w:t xml:space="preserve"> </w:t>
      </w:r>
      <w:r w:rsidR="00865B5F" w:rsidRPr="003364AC">
        <w:rPr>
          <w:rFonts w:ascii="Georgia" w:hAnsi="Georgia"/>
          <w:lang w:val="da-DK" w:eastAsia="da-DK"/>
        </w:rPr>
        <w:t xml:space="preserve">styrelsens </w:t>
      </w:r>
      <w:r w:rsidR="00ED25FF" w:rsidRPr="003364AC">
        <w:rPr>
          <w:rFonts w:ascii="Georgia" w:hAnsi="Georgia"/>
          <w:lang w:val="da-DK" w:eastAsia="da-DK"/>
        </w:rPr>
        <w:t>bilpark</w:t>
      </w:r>
      <w:r w:rsidR="001F4069" w:rsidRPr="003364AC">
        <w:rPr>
          <w:rFonts w:ascii="Georgia" w:hAnsi="Georgia"/>
          <w:lang w:val="da-DK" w:eastAsia="da-DK"/>
        </w:rPr>
        <w:t xml:space="preserve"> (afskrivninger på køretøjer, vedligeholdelse, reparation af biler samt brændstof)</w:t>
      </w:r>
      <w:r w:rsidR="00865B5F" w:rsidRPr="003364AC">
        <w:rPr>
          <w:rFonts w:ascii="Georgia" w:hAnsi="Georgia"/>
          <w:lang w:val="da-DK" w:eastAsia="da-DK"/>
        </w:rPr>
        <w:t>.</w:t>
      </w:r>
    </w:p>
    <w:p w14:paraId="4F0DF3BD" w14:textId="1A3185B9" w:rsidR="00865B5F" w:rsidRDefault="00865B5F" w:rsidP="00865B5F">
      <w:pPr>
        <w:spacing w:after="0"/>
        <w:ind w:right="424"/>
        <w:rPr>
          <w:rFonts w:ascii="Georgia" w:hAnsi="Georgia"/>
          <w:lang w:val="da-DK" w:eastAsia="da-DK"/>
        </w:rPr>
      </w:pPr>
    </w:p>
    <w:p w14:paraId="78E3CEEA" w14:textId="4ECE89FF" w:rsidR="001B3EBB" w:rsidRDefault="00A002A8" w:rsidP="00865B5F">
      <w:pPr>
        <w:spacing w:after="0"/>
        <w:ind w:right="424"/>
        <w:rPr>
          <w:rFonts w:ascii="Georgia" w:hAnsi="Georgia"/>
          <w:lang w:val="da-DK" w:eastAsia="da-DK"/>
        </w:rPr>
      </w:pPr>
      <w:r>
        <w:rPr>
          <w:rFonts w:ascii="Georgia" w:hAnsi="Georgia"/>
          <w:lang w:val="da-DK" w:eastAsia="da-DK"/>
        </w:rPr>
        <w:t xml:space="preserve">Alle de transportomkostninger i Fødevarestyrelsen, som fordeles ud til faglige opgaver, registreres </w:t>
      </w:r>
      <w:r w:rsidR="001B3EBB">
        <w:rPr>
          <w:rFonts w:ascii="Georgia" w:hAnsi="Georgia"/>
          <w:lang w:val="da-DK" w:eastAsia="da-DK"/>
        </w:rPr>
        <w:t>på en særskilt transport-opgave</w:t>
      </w:r>
      <w:r>
        <w:rPr>
          <w:rFonts w:ascii="Georgia" w:hAnsi="Georgia"/>
          <w:lang w:val="da-DK" w:eastAsia="da-DK"/>
        </w:rPr>
        <w:t>. Herefter fordeles disse transportomkostninger</w:t>
      </w:r>
      <w:r w:rsidR="001B3EBB">
        <w:rPr>
          <w:rFonts w:ascii="Georgia" w:hAnsi="Georgia"/>
          <w:lang w:val="da-DK" w:eastAsia="da-DK"/>
        </w:rPr>
        <w:t xml:space="preserve"> til de faglige opgaver</w:t>
      </w:r>
      <w:r w:rsidR="00610F87">
        <w:rPr>
          <w:rFonts w:ascii="Georgia" w:hAnsi="Georgia"/>
          <w:lang w:val="da-DK" w:eastAsia="da-DK"/>
        </w:rPr>
        <w:t>.</w:t>
      </w:r>
    </w:p>
    <w:p w14:paraId="1B20AC06" w14:textId="77777777" w:rsidR="002C26FF" w:rsidRDefault="002C26FF" w:rsidP="002C26FF">
      <w:pPr>
        <w:spacing w:after="0"/>
        <w:ind w:right="424"/>
        <w:rPr>
          <w:rFonts w:ascii="Georgia" w:hAnsi="Georgia"/>
          <w:lang w:val="da-DK" w:eastAsia="da-DK"/>
        </w:rPr>
      </w:pPr>
    </w:p>
    <w:p w14:paraId="35E0EBAB" w14:textId="2DC8679C" w:rsidR="009A1639" w:rsidRDefault="001B3EBB" w:rsidP="00865B5F">
      <w:pPr>
        <w:spacing w:after="0"/>
        <w:ind w:right="424"/>
        <w:rPr>
          <w:rFonts w:ascii="Georgia" w:hAnsi="Georgia"/>
          <w:lang w:val="da-DK" w:eastAsia="da-DK"/>
        </w:rPr>
      </w:pPr>
      <w:r>
        <w:rPr>
          <w:rFonts w:ascii="Georgia" w:hAnsi="Georgia"/>
          <w:lang w:val="da-DK" w:eastAsia="da-DK"/>
        </w:rPr>
        <w:t>Lønomkostninger til transport fordeles lokalt på enhedernes faglige opgaver proportionalt med enhedernes</w:t>
      </w:r>
      <w:r w:rsidRPr="002E2703">
        <w:rPr>
          <w:rFonts w:ascii="Georgia" w:hAnsi="Georgia"/>
          <w:lang w:val="da-DK" w:eastAsia="da-DK"/>
        </w:rPr>
        <w:t xml:space="preserve"> direkte lønomkostni</w:t>
      </w:r>
      <w:r>
        <w:rPr>
          <w:rFonts w:ascii="Georgia" w:hAnsi="Georgia"/>
          <w:lang w:val="da-DK" w:eastAsia="da-DK"/>
        </w:rPr>
        <w:t>nger til udførelsen af de faglige opgaver</w:t>
      </w:r>
      <w:r w:rsidR="006A048F">
        <w:rPr>
          <w:rFonts w:ascii="Georgia" w:hAnsi="Georgia"/>
          <w:lang w:val="da-DK" w:eastAsia="da-DK"/>
        </w:rPr>
        <w:t>.</w:t>
      </w:r>
      <w:r w:rsidR="00C72429">
        <w:rPr>
          <w:rFonts w:ascii="Georgia" w:hAnsi="Georgia"/>
          <w:lang w:val="da-DK" w:eastAsia="da-DK"/>
        </w:rPr>
        <w:t xml:space="preserve"> </w:t>
      </w:r>
      <w:r w:rsidR="009A1639">
        <w:rPr>
          <w:rFonts w:ascii="Georgia" w:hAnsi="Georgia"/>
          <w:lang w:val="da-DK" w:eastAsia="da-DK"/>
        </w:rPr>
        <w:t xml:space="preserve">Rejseafregning </w:t>
      </w:r>
      <w:r w:rsidR="00097371">
        <w:rPr>
          <w:rFonts w:ascii="Georgia" w:hAnsi="Georgia"/>
          <w:lang w:val="da-DK" w:eastAsia="da-DK"/>
        </w:rPr>
        <w:t>for</w:t>
      </w:r>
      <w:r w:rsidR="009A1639">
        <w:rPr>
          <w:rFonts w:ascii="Georgia" w:hAnsi="Georgia"/>
          <w:lang w:val="da-DK" w:eastAsia="da-DK"/>
        </w:rPr>
        <w:t xml:space="preserve"> transport fordeles lokalt på enhedernes faglige opgaver proportionalt med enhedernes lokale</w:t>
      </w:r>
      <w:r w:rsidR="009A1639" w:rsidRPr="002E2703">
        <w:rPr>
          <w:rFonts w:ascii="Georgia" w:hAnsi="Georgia"/>
          <w:lang w:val="da-DK" w:eastAsia="da-DK"/>
        </w:rPr>
        <w:t xml:space="preserve"> </w:t>
      </w:r>
      <w:r w:rsidR="009A1639">
        <w:rPr>
          <w:rFonts w:ascii="Georgia" w:hAnsi="Georgia"/>
          <w:lang w:val="da-DK" w:eastAsia="da-DK"/>
        </w:rPr>
        <w:t>fordeling af lønomkostninger til transport.</w:t>
      </w:r>
      <w:r w:rsidR="00C72429">
        <w:rPr>
          <w:rFonts w:ascii="Georgia" w:hAnsi="Georgia"/>
          <w:lang w:val="da-DK" w:eastAsia="da-DK"/>
        </w:rPr>
        <w:t xml:space="preserve"> </w:t>
      </w:r>
      <w:r w:rsidR="009A1639">
        <w:rPr>
          <w:rFonts w:ascii="Georgia" w:hAnsi="Georgia"/>
          <w:lang w:val="da-DK" w:eastAsia="da-DK"/>
        </w:rPr>
        <w:t xml:space="preserve">Omkostningerne til driften af styrelsens bilpark, som afholdes centralt i styrelsens hovedkontor, fordeles til </w:t>
      </w:r>
      <w:r w:rsidR="00C408D9">
        <w:rPr>
          <w:rFonts w:ascii="Georgia" w:hAnsi="Georgia"/>
          <w:lang w:val="da-DK" w:eastAsia="da-DK"/>
        </w:rPr>
        <w:t>de faglige opgaver</w:t>
      </w:r>
      <w:r w:rsidR="009A1639">
        <w:rPr>
          <w:rFonts w:ascii="Georgia" w:hAnsi="Georgia"/>
          <w:lang w:val="da-DK" w:eastAsia="da-DK"/>
        </w:rPr>
        <w:t xml:space="preserve"> proportionalt de fordelte lønomkostninger til transport.</w:t>
      </w:r>
    </w:p>
    <w:p w14:paraId="2B5A328F" w14:textId="77777777" w:rsidR="00555D05" w:rsidRDefault="00555D05">
      <w:pPr>
        <w:spacing w:after="0"/>
        <w:ind w:right="424"/>
        <w:rPr>
          <w:rFonts w:ascii="Georgia" w:hAnsi="Georgia"/>
          <w:lang w:val="da-DK" w:eastAsia="da-DK"/>
        </w:rPr>
      </w:pPr>
    </w:p>
    <w:p w14:paraId="1CCE8F45" w14:textId="592458E3" w:rsidR="00B0068F" w:rsidRPr="004F2D1E" w:rsidRDefault="00617A49" w:rsidP="003364AC">
      <w:pPr>
        <w:spacing w:after="0"/>
        <w:ind w:right="424"/>
        <w:rPr>
          <w:rFonts w:ascii="Georgia" w:hAnsi="Georgia"/>
          <w:lang w:val="da-DK" w:eastAsia="da-DK"/>
        </w:rPr>
      </w:pPr>
      <w:r w:rsidRPr="001A60C4">
        <w:rPr>
          <w:rFonts w:ascii="Georgia" w:hAnsi="Georgia"/>
          <w:b/>
          <w:lang w:val="da-DK" w:eastAsia="da-DK"/>
        </w:rPr>
        <w:t>Omkostninger til gebyrbelagt kon</w:t>
      </w:r>
      <w:r w:rsidR="005A15A7">
        <w:rPr>
          <w:rFonts w:ascii="Georgia" w:hAnsi="Georgia"/>
          <w:b/>
          <w:lang w:val="da-DK" w:eastAsia="da-DK"/>
        </w:rPr>
        <w:t xml:space="preserve">trol i Fødevarestyrelsen i </w:t>
      </w:r>
      <w:r w:rsidR="009C267C">
        <w:rPr>
          <w:rFonts w:ascii="Georgia" w:hAnsi="Georgia"/>
          <w:b/>
          <w:lang w:val="da-DK" w:eastAsia="da-DK"/>
        </w:rPr>
        <w:t>2022</w:t>
      </w:r>
      <w:r w:rsidR="005A15A7">
        <w:rPr>
          <w:rFonts w:ascii="Georgia" w:hAnsi="Georgia"/>
          <w:b/>
          <w:lang w:val="da-DK" w:eastAsia="da-DK"/>
        </w:rPr>
        <w:t xml:space="preserve"> </w:t>
      </w:r>
      <w:r w:rsidR="007E3217">
        <w:rPr>
          <w:rFonts w:ascii="Georgia" w:hAnsi="Georgia"/>
          <w:b/>
          <w:lang w:val="da-DK" w:eastAsia="da-DK"/>
        </w:rPr>
        <w:t xml:space="preserve">ekskl. </w:t>
      </w:r>
      <w:proofErr w:type="gramStart"/>
      <w:r w:rsidR="007E3217">
        <w:rPr>
          <w:rFonts w:ascii="Georgia" w:hAnsi="Georgia"/>
          <w:b/>
          <w:lang w:val="da-DK" w:eastAsia="da-DK"/>
        </w:rPr>
        <w:t xml:space="preserve">kødkontrol </w:t>
      </w:r>
      <w:r w:rsidR="005A15A7">
        <w:rPr>
          <w:rFonts w:ascii="Georgia" w:hAnsi="Georgia"/>
          <w:b/>
          <w:lang w:val="da-DK" w:eastAsia="da-DK"/>
        </w:rPr>
        <w:t xml:space="preserve"> på</w:t>
      </w:r>
      <w:proofErr w:type="gramEnd"/>
      <w:r w:rsidR="005A15A7">
        <w:rPr>
          <w:rFonts w:ascii="Georgia" w:hAnsi="Georgia"/>
          <w:b/>
          <w:lang w:val="da-DK" w:eastAsia="da-DK"/>
        </w:rPr>
        <w:t xml:space="preserve"> store slagterier, i mio. kr</w:t>
      </w:r>
      <w:r w:rsidR="007E3217">
        <w:rPr>
          <w:rFonts w:ascii="Georgia" w:hAnsi="Georgia"/>
          <w:b/>
          <w:lang w:val="da-DK" w:eastAsia="da-DK"/>
        </w:rPr>
        <w:t xml:space="preserve">. </w:t>
      </w:r>
    </w:p>
    <w:tbl>
      <w:tblPr>
        <w:tblW w:w="5600" w:type="dxa"/>
        <w:tblInd w:w="-5" w:type="dxa"/>
        <w:tblCellMar>
          <w:left w:w="70" w:type="dxa"/>
          <w:right w:w="70" w:type="dxa"/>
        </w:tblCellMar>
        <w:tblLook w:val="04A0" w:firstRow="1" w:lastRow="0" w:firstColumn="1" w:lastColumn="0" w:noHBand="0" w:noVBand="1"/>
      </w:tblPr>
      <w:tblGrid>
        <w:gridCol w:w="4193"/>
        <w:gridCol w:w="1407"/>
      </w:tblGrid>
      <w:tr w:rsidR="0022501B" w:rsidRPr="0022501B" w14:paraId="6F578BF6" w14:textId="77777777" w:rsidTr="0022501B">
        <w:trPr>
          <w:trHeight w:val="413"/>
        </w:trPr>
        <w:tc>
          <w:tcPr>
            <w:tcW w:w="419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B5B0051" w14:textId="77777777" w:rsidR="0022501B" w:rsidRPr="0022501B" w:rsidRDefault="0022501B" w:rsidP="0022501B">
            <w:pPr>
              <w:widowControl/>
              <w:spacing w:after="0" w:line="240" w:lineRule="auto"/>
              <w:rPr>
                <w:rFonts w:ascii="Arial" w:eastAsia="Times New Roman" w:hAnsi="Arial" w:cs="Arial"/>
                <w:color w:val="000000"/>
                <w:sz w:val="16"/>
                <w:szCs w:val="16"/>
                <w:lang w:val="da-DK" w:eastAsia="da-DK"/>
              </w:rPr>
            </w:pPr>
            <w:r w:rsidRPr="0022501B">
              <w:rPr>
                <w:rFonts w:ascii="Arial" w:eastAsia="Times New Roman" w:hAnsi="Arial" w:cs="Arial"/>
                <w:color w:val="000000"/>
                <w:sz w:val="16"/>
                <w:szCs w:val="16"/>
                <w:lang w:val="da-DK" w:eastAsia="da-DK"/>
              </w:rPr>
              <w:t xml:space="preserve">Direkte udgifter </w:t>
            </w:r>
          </w:p>
        </w:tc>
        <w:tc>
          <w:tcPr>
            <w:tcW w:w="1407" w:type="dxa"/>
            <w:tcBorders>
              <w:top w:val="single" w:sz="4" w:space="0" w:color="auto"/>
              <w:left w:val="nil"/>
              <w:bottom w:val="single" w:sz="4" w:space="0" w:color="auto"/>
              <w:right w:val="single" w:sz="4" w:space="0" w:color="auto"/>
            </w:tcBorders>
            <w:shd w:val="clear" w:color="000000" w:fill="DCE6F1"/>
            <w:vAlign w:val="center"/>
            <w:hideMark/>
          </w:tcPr>
          <w:p w14:paraId="2D27EA62" w14:textId="6DA21CD4" w:rsidR="0022501B" w:rsidRPr="0022501B" w:rsidRDefault="00B46192" w:rsidP="0022501B">
            <w:pPr>
              <w:widowControl/>
              <w:spacing w:after="0" w:line="240" w:lineRule="auto"/>
              <w:jc w:val="right"/>
              <w:rPr>
                <w:rFonts w:ascii="Arial" w:eastAsia="Times New Roman" w:hAnsi="Arial" w:cs="Arial"/>
                <w:color w:val="000000"/>
                <w:sz w:val="16"/>
                <w:szCs w:val="16"/>
                <w:lang w:val="da-DK" w:eastAsia="da-DK"/>
              </w:rPr>
            </w:pPr>
            <w:r>
              <w:rPr>
                <w:rFonts w:ascii="Arial" w:eastAsia="Times New Roman" w:hAnsi="Arial" w:cs="Arial"/>
                <w:color w:val="000000"/>
                <w:sz w:val="16"/>
                <w:szCs w:val="16"/>
                <w:lang w:val="da-DK" w:eastAsia="da-DK"/>
              </w:rPr>
              <w:t>257,0</w:t>
            </w:r>
          </w:p>
        </w:tc>
      </w:tr>
      <w:tr w:rsidR="0022501B" w:rsidRPr="0022501B" w14:paraId="390F4E19" w14:textId="77777777" w:rsidTr="0022501B">
        <w:trPr>
          <w:trHeight w:val="413"/>
        </w:trPr>
        <w:tc>
          <w:tcPr>
            <w:tcW w:w="4193" w:type="dxa"/>
            <w:tcBorders>
              <w:top w:val="nil"/>
              <w:left w:val="single" w:sz="4" w:space="0" w:color="auto"/>
              <w:bottom w:val="single" w:sz="4" w:space="0" w:color="auto"/>
              <w:right w:val="single" w:sz="4" w:space="0" w:color="auto"/>
            </w:tcBorders>
            <w:shd w:val="clear" w:color="000000" w:fill="DCE6F1"/>
            <w:vAlign w:val="center"/>
            <w:hideMark/>
          </w:tcPr>
          <w:p w14:paraId="0CA15ED2" w14:textId="77777777" w:rsidR="0022501B" w:rsidRPr="0022501B" w:rsidRDefault="0022501B" w:rsidP="0022501B">
            <w:pPr>
              <w:widowControl/>
              <w:spacing w:after="0" w:line="240" w:lineRule="auto"/>
              <w:rPr>
                <w:rFonts w:ascii="Arial" w:eastAsia="Times New Roman" w:hAnsi="Arial" w:cs="Arial"/>
                <w:i/>
                <w:iCs/>
                <w:color w:val="000000"/>
                <w:sz w:val="16"/>
                <w:szCs w:val="16"/>
                <w:lang w:val="da-DK" w:eastAsia="da-DK"/>
              </w:rPr>
            </w:pPr>
            <w:r w:rsidRPr="0022501B">
              <w:rPr>
                <w:rFonts w:ascii="Arial" w:eastAsia="Times New Roman" w:hAnsi="Arial" w:cs="Arial"/>
                <w:i/>
                <w:iCs/>
                <w:color w:val="000000"/>
                <w:sz w:val="16"/>
                <w:szCs w:val="16"/>
                <w:lang w:val="da-DK" w:eastAsia="da-DK"/>
              </w:rPr>
              <w:t>Heraf direkte lønudgifter</w:t>
            </w:r>
          </w:p>
        </w:tc>
        <w:tc>
          <w:tcPr>
            <w:tcW w:w="1407" w:type="dxa"/>
            <w:tcBorders>
              <w:top w:val="nil"/>
              <w:left w:val="nil"/>
              <w:bottom w:val="single" w:sz="4" w:space="0" w:color="auto"/>
              <w:right w:val="single" w:sz="4" w:space="0" w:color="auto"/>
            </w:tcBorders>
            <w:shd w:val="clear" w:color="000000" w:fill="DCE6F1"/>
            <w:vAlign w:val="center"/>
            <w:hideMark/>
          </w:tcPr>
          <w:p w14:paraId="25BF5AE8" w14:textId="7F38E85F" w:rsidR="0022501B" w:rsidRPr="0022501B" w:rsidRDefault="00B46192" w:rsidP="0022501B">
            <w:pPr>
              <w:widowControl/>
              <w:spacing w:after="0" w:line="240" w:lineRule="auto"/>
              <w:jc w:val="right"/>
              <w:rPr>
                <w:rFonts w:ascii="Arial" w:eastAsia="Times New Roman" w:hAnsi="Arial" w:cs="Arial"/>
                <w:i/>
                <w:iCs/>
                <w:color w:val="000000"/>
                <w:sz w:val="16"/>
                <w:szCs w:val="16"/>
                <w:lang w:val="da-DK" w:eastAsia="da-DK"/>
              </w:rPr>
            </w:pPr>
            <w:r>
              <w:rPr>
                <w:rFonts w:ascii="Arial" w:eastAsia="Times New Roman" w:hAnsi="Arial" w:cs="Arial"/>
                <w:i/>
                <w:iCs/>
                <w:color w:val="000000"/>
                <w:sz w:val="16"/>
                <w:szCs w:val="16"/>
                <w:lang w:val="da-DK" w:eastAsia="da-DK"/>
              </w:rPr>
              <w:t>195,3</w:t>
            </w:r>
          </w:p>
        </w:tc>
      </w:tr>
      <w:tr w:rsidR="0022501B" w:rsidRPr="0022501B" w14:paraId="0E928EBC" w14:textId="77777777" w:rsidTr="0022501B">
        <w:trPr>
          <w:trHeight w:val="413"/>
        </w:trPr>
        <w:tc>
          <w:tcPr>
            <w:tcW w:w="4193" w:type="dxa"/>
            <w:tcBorders>
              <w:top w:val="nil"/>
              <w:left w:val="single" w:sz="4" w:space="0" w:color="auto"/>
              <w:bottom w:val="single" w:sz="4" w:space="0" w:color="auto"/>
              <w:right w:val="single" w:sz="4" w:space="0" w:color="auto"/>
            </w:tcBorders>
            <w:shd w:val="clear" w:color="000000" w:fill="DCE6F1"/>
            <w:vAlign w:val="center"/>
            <w:hideMark/>
          </w:tcPr>
          <w:p w14:paraId="1B33EA6E" w14:textId="77777777" w:rsidR="0022501B" w:rsidRPr="0022501B" w:rsidRDefault="0022501B" w:rsidP="0022501B">
            <w:pPr>
              <w:widowControl/>
              <w:spacing w:after="0" w:line="240" w:lineRule="auto"/>
              <w:rPr>
                <w:rFonts w:ascii="Arial" w:eastAsia="Times New Roman" w:hAnsi="Arial" w:cs="Arial"/>
                <w:i/>
                <w:iCs/>
                <w:color w:val="000000"/>
                <w:sz w:val="16"/>
                <w:szCs w:val="16"/>
                <w:lang w:val="da-DK" w:eastAsia="da-DK"/>
              </w:rPr>
            </w:pPr>
            <w:r w:rsidRPr="0022501B">
              <w:rPr>
                <w:rFonts w:ascii="Arial" w:eastAsia="Times New Roman" w:hAnsi="Arial" w:cs="Arial"/>
                <w:i/>
                <w:iCs/>
                <w:color w:val="000000"/>
                <w:sz w:val="16"/>
                <w:szCs w:val="16"/>
                <w:lang w:val="da-DK" w:eastAsia="da-DK"/>
              </w:rPr>
              <w:t>Heraf direkte øvrig drift</w:t>
            </w:r>
          </w:p>
        </w:tc>
        <w:tc>
          <w:tcPr>
            <w:tcW w:w="1407" w:type="dxa"/>
            <w:tcBorders>
              <w:top w:val="nil"/>
              <w:left w:val="nil"/>
              <w:bottom w:val="single" w:sz="4" w:space="0" w:color="auto"/>
              <w:right w:val="single" w:sz="4" w:space="0" w:color="auto"/>
            </w:tcBorders>
            <w:shd w:val="clear" w:color="000000" w:fill="DCE6F1"/>
            <w:vAlign w:val="center"/>
            <w:hideMark/>
          </w:tcPr>
          <w:p w14:paraId="31B52D2B" w14:textId="4537925A" w:rsidR="0022501B" w:rsidRPr="0022501B" w:rsidRDefault="00B46192" w:rsidP="0022501B">
            <w:pPr>
              <w:widowControl/>
              <w:spacing w:after="0" w:line="240" w:lineRule="auto"/>
              <w:jc w:val="right"/>
              <w:rPr>
                <w:rFonts w:ascii="Arial" w:eastAsia="Times New Roman" w:hAnsi="Arial" w:cs="Arial"/>
                <w:i/>
                <w:iCs/>
                <w:color w:val="000000"/>
                <w:sz w:val="16"/>
                <w:szCs w:val="16"/>
                <w:lang w:val="da-DK" w:eastAsia="da-DK"/>
              </w:rPr>
            </w:pPr>
            <w:r>
              <w:rPr>
                <w:rFonts w:ascii="Arial" w:eastAsia="Times New Roman" w:hAnsi="Arial" w:cs="Arial"/>
                <w:i/>
                <w:iCs/>
                <w:color w:val="000000"/>
                <w:sz w:val="16"/>
                <w:szCs w:val="16"/>
                <w:lang w:val="da-DK" w:eastAsia="da-DK"/>
              </w:rPr>
              <w:t>61,7</w:t>
            </w:r>
          </w:p>
        </w:tc>
      </w:tr>
      <w:tr w:rsidR="0022501B" w:rsidRPr="0022501B" w14:paraId="0855C71B" w14:textId="77777777" w:rsidTr="0022501B">
        <w:trPr>
          <w:trHeight w:val="413"/>
        </w:trPr>
        <w:tc>
          <w:tcPr>
            <w:tcW w:w="4193" w:type="dxa"/>
            <w:tcBorders>
              <w:top w:val="nil"/>
              <w:left w:val="single" w:sz="4" w:space="0" w:color="auto"/>
              <w:bottom w:val="single" w:sz="4" w:space="0" w:color="auto"/>
              <w:right w:val="single" w:sz="4" w:space="0" w:color="auto"/>
            </w:tcBorders>
            <w:shd w:val="clear" w:color="000000" w:fill="DCE6F1"/>
            <w:vAlign w:val="center"/>
            <w:hideMark/>
          </w:tcPr>
          <w:p w14:paraId="277A7A0C" w14:textId="77777777" w:rsidR="0022501B" w:rsidRPr="0022501B" w:rsidRDefault="0022501B" w:rsidP="0022501B">
            <w:pPr>
              <w:widowControl/>
              <w:spacing w:after="0" w:line="240" w:lineRule="auto"/>
              <w:rPr>
                <w:rFonts w:ascii="Arial" w:eastAsia="Times New Roman" w:hAnsi="Arial" w:cs="Arial"/>
                <w:color w:val="000000"/>
                <w:sz w:val="16"/>
                <w:szCs w:val="16"/>
                <w:lang w:val="da-DK" w:eastAsia="da-DK"/>
              </w:rPr>
            </w:pPr>
            <w:r w:rsidRPr="0022501B">
              <w:rPr>
                <w:rFonts w:ascii="Arial" w:eastAsia="Times New Roman" w:hAnsi="Arial" w:cs="Arial"/>
                <w:color w:val="000000"/>
                <w:sz w:val="16"/>
                <w:szCs w:val="16"/>
                <w:lang w:val="da-DK" w:eastAsia="da-DK"/>
              </w:rPr>
              <w:t>Pålignede fællesomkostninger</w:t>
            </w:r>
          </w:p>
        </w:tc>
        <w:tc>
          <w:tcPr>
            <w:tcW w:w="1407" w:type="dxa"/>
            <w:tcBorders>
              <w:top w:val="nil"/>
              <w:left w:val="nil"/>
              <w:bottom w:val="single" w:sz="4" w:space="0" w:color="auto"/>
              <w:right w:val="single" w:sz="4" w:space="0" w:color="auto"/>
            </w:tcBorders>
            <w:shd w:val="clear" w:color="000000" w:fill="DCE6F1"/>
            <w:vAlign w:val="center"/>
            <w:hideMark/>
          </w:tcPr>
          <w:p w14:paraId="20A8D73B" w14:textId="7FF65AB0" w:rsidR="0022501B" w:rsidRPr="0022501B" w:rsidRDefault="00B46192" w:rsidP="0022501B">
            <w:pPr>
              <w:widowControl/>
              <w:spacing w:after="0" w:line="240" w:lineRule="auto"/>
              <w:jc w:val="right"/>
              <w:rPr>
                <w:rFonts w:ascii="Arial" w:eastAsia="Times New Roman" w:hAnsi="Arial" w:cs="Arial"/>
                <w:color w:val="000000"/>
                <w:sz w:val="16"/>
                <w:szCs w:val="16"/>
                <w:lang w:val="da-DK" w:eastAsia="da-DK"/>
              </w:rPr>
            </w:pPr>
            <w:r>
              <w:rPr>
                <w:rFonts w:ascii="Arial" w:eastAsia="Times New Roman" w:hAnsi="Arial" w:cs="Arial"/>
                <w:color w:val="000000"/>
                <w:sz w:val="16"/>
                <w:szCs w:val="16"/>
                <w:lang w:val="da-DK" w:eastAsia="da-DK"/>
              </w:rPr>
              <w:t>157,8</w:t>
            </w:r>
          </w:p>
        </w:tc>
      </w:tr>
      <w:tr w:rsidR="0022501B" w:rsidRPr="0022501B" w14:paraId="49914AFA" w14:textId="77777777" w:rsidTr="0022501B">
        <w:trPr>
          <w:trHeight w:val="413"/>
        </w:trPr>
        <w:tc>
          <w:tcPr>
            <w:tcW w:w="4193" w:type="dxa"/>
            <w:tcBorders>
              <w:top w:val="nil"/>
              <w:left w:val="single" w:sz="4" w:space="0" w:color="auto"/>
              <w:bottom w:val="single" w:sz="4" w:space="0" w:color="auto"/>
              <w:right w:val="single" w:sz="4" w:space="0" w:color="auto"/>
            </w:tcBorders>
            <w:shd w:val="clear" w:color="000000" w:fill="DCE6F1"/>
            <w:vAlign w:val="center"/>
            <w:hideMark/>
          </w:tcPr>
          <w:p w14:paraId="5DC41406" w14:textId="77777777" w:rsidR="0022501B" w:rsidRPr="0022501B" w:rsidRDefault="0022501B" w:rsidP="0022501B">
            <w:pPr>
              <w:widowControl/>
              <w:spacing w:after="0" w:line="240" w:lineRule="auto"/>
              <w:rPr>
                <w:rFonts w:ascii="Arial" w:eastAsia="Times New Roman" w:hAnsi="Arial" w:cs="Arial"/>
                <w:color w:val="000000"/>
                <w:sz w:val="16"/>
                <w:szCs w:val="16"/>
                <w:lang w:val="da-DK" w:eastAsia="da-DK"/>
              </w:rPr>
            </w:pPr>
            <w:r w:rsidRPr="0022501B">
              <w:rPr>
                <w:rFonts w:ascii="Arial" w:eastAsia="Times New Roman" w:hAnsi="Arial" w:cs="Arial"/>
                <w:color w:val="000000"/>
                <w:sz w:val="16"/>
                <w:szCs w:val="16"/>
                <w:lang w:val="da-DK" w:eastAsia="da-DK"/>
              </w:rPr>
              <w:t xml:space="preserve">Pålignede transportomkostninger </w:t>
            </w:r>
          </w:p>
        </w:tc>
        <w:tc>
          <w:tcPr>
            <w:tcW w:w="1407" w:type="dxa"/>
            <w:tcBorders>
              <w:top w:val="nil"/>
              <w:left w:val="nil"/>
              <w:bottom w:val="single" w:sz="4" w:space="0" w:color="auto"/>
              <w:right w:val="single" w:sz="4" w:space="0" w:color="auto"/>
            </w:tcBorders>
            <w:shd w:val="clear" w:color="000000" w:fill="DCE6F1"/>
            <w:vAlign w:val="center"/>
            <w:hideMark/>
          </w:tcPr>
          <w:p w14:paraId="46411361" w14:textId="29020388" w:rsidR="0022501B" w:rsidRPr="0022501B" w:rsidRDefault="00B46192" w:rsidP="0022501B">
            <w:pPr>
              <w:widowControl/>
              <w:spacing w:after="0" w:line="240" w:lineRule="auto"/>
              <w:jc w:val="right"/>
              <w:rPr>
                <w:rFonts w:ascii="Arial" w:eastAsia="Times New Roman" w:hAnsi="Arial" w:cs="Arial"/>
                <w:color w:val="000000"/>
                <w:sz w:val="16"/>
                <w:szCs w:val="16"/>
                <w:lang w:val="da-DK" w:eastAsia="da-DK"/>
              </w:rPr>
            </w:pPr>
            <w:r>
              <w:rPr>
                <w:rFonts w:ascii="Arial" w:eastAsia="Times New Roman" w:hAnsi="Arial" w:cs="Arial"/>
                <w:color w:val="000000"/>
                <w:sz w:val="16"/>
                <w:szCs w:val="16"/>
                <w:lang w:val="da-DK" w:eastAsia="da-DK"/>
              </w:rPr>
              <w:t>51,8</w:t>
            </w:r>
          </w:p>
        </w:tc>
      </w:tr>
      <w:tr w:rsidR="0022501B" w:rsidRPr="0022501B" w14:paraId="6DF3106C" w14:textId="77777777" w:rsidTr="0022501B">
        <w:trPr>
          <w:trHeight w:val="413"/>
        </w:trPr>
        <w:tc>
          <w:tcPr>
            <w:tcW w:w="4193" w:type="dxa"/>
            <w:tcBorders>
              <w:top w:val="nil"/>
              <w:left w:val="single" w:sz="4" w:space="0" w:color="auto"/>
              <w:bottom w:val="single" w:sz="4" w:space="0" w:color="auto"/>
              <w:right w:val="single" w:sz="4" w:space="0" w:color="auto"/>
            </w:tcBorders>
            <w:shd w:val="clear" w:color="000000" w:fill="DCE6F1"/>
            <w:vAlign w:val="center"/>
            <w:hideMark/>
          </w:tcPr>
          <w:p w14:paraId="65F63162" w14:textId="77777777" w:rsidR="0022501B" w:rsidRPr="0022501B" w:rsidRDefault="0022501B" w:rsidP="0022501B">
            <w:pPr>
              <w:widowControl/>
              <w:spacing w:after="0" w:line="240" w:lineRule="auto"/>
              <w:rPr>
                <w:rFonts w:ascii="Arial" w:eastAsia="Times New Roman" w:hAnsi="Arial" w:cs="Arial"/>
                <w:b/>
                <w:bCs/>
                <w:color w:val="000000"/>
                <w:sz w:val="16"/>
                <w:szCs w:val="16"/>
                <w:lang w:val="da-DK" w:eastAsia="da-DK"/>
              </w:rPr>
            </w:pPr>
            <w:r w:rsidRPr="0022501B">
              <w:rPr>
                <w:rFonts w:ascii="Arial" w:eastAsia="Times New Roman" w:hAnsi="Arial" w:cs="Arial"/>
                <w:b/>
                <w:bCs/>
                <w:color w:val="000000"/>
                <w:sz w:val="16"/>
                <w:szCs w:val="16"/>
                <w:lang w:val="da-DK" w:eastAsia="da-DK"/>
              </w:rPr>
              <w:t>I alt</w:t>
            </w:r>
          </w:p>
        </w:tc>
        <w:tc>
          <w:tcPr>
            <w:tcW w:w="1407" w:type="dxa"/>
            <w:tcBorders>
              <w:top w:val="nil"/>
              <w:left w:val="nil"/>
              <w:bottom w:val="single" w:sz="4" w:space="0" w:color="auto"/>
              <w:right w:val="single" w:sz="4" w:space="0" w:color="auto"/>
            </w:tcBorders>
            <w:shd w:val="clear" w:color="000000" w:fill="DCE6F1"/>
            <w:vAlign w:val="center"/>
            <w:hideMark/>
          </w:tcPr>
          <w:p w14:paraId="30D17144" w14:textId="4D4E39F8" w:rsidR="0022501B" w:rsidRPr="0022501B" w:rsidRDefault="00B46192" w:rsidP="0022501B">
            <w:pPr>
              <w:widowControl/>
              <w:spacing w:after="0" w:line="240" w:lineRule="auto"/>
              <w:jc w:val="right"/>
              <w:rPr>
                <w:rFonts w:ascii="Arial" w:eastAsia="Times New Roman" w:hAnsi="Arial" w:cs="Arial"/>
                <w:b/>
                <w:bCs/>
                <w:color w:val="000000"/>
                <w:sz w:val="16"/>
                <w:szCs w:val="16"/>
                <w:lang w:val="da-DK" w:eastAsia="da-DK"/>
              </w:rPr>
            </w:pPr>
            <w:r>
              <w:rPr>
                <w:rFonts w:ascii="Arial" w:eastAsia="Times New Roman" w:hAnsi="Arial" w:cs="Arial"/>
                <w:b/>
                <w:bCs/>
                <w:color w:val="000000"/>
                <w:sz w:val="16"/>
                <w:szCs w:val="16"/>
                <w:lang w:val="da-DK" w:eastAsia="da-DK"/>
              </w:rPr>
              <w:t>466,7</w:t>
            </w:r>
          </w:p>
        </w:tc>
      </w:tr>
    </w:tbl>
    <w:p w14:paraId="20C9ED75" w14:textId="77777777" w:rsidR="005A15A7" w:rsidRDefault="00DD63B7" w:rsidP="001A60C4">
      <w:pPr>
        <w:spacing w:after="0"/>
        <w:ind w:right="424"/>
        <w:rPr>
          <w:rFonts w:ascii="Georgia" w:hAnsi="Georgia"/>
          <w:lang w:val="da-DK" w:eastAsia="da-DK"/>
        </w:rPr>
      </w:pPr>
      <w:r>
        <w:rPr>
          <w:rFonts w:ascii="Georgia" w:hAnsi="Georgia"/>
          <w:lang w:val="da-DK" w:eastAsia="da-DK"/>
        </w:rPr>
        <w:t>Note: Udgifter til transport er inkl. fællesudgifter vedrørende transport</w:t>
      </w:r>
    </w:p>
    <w:p w14:paraId="7DA75C78" w14:textId="77777777" w:rsidR="00922A5D" w:rsidRDefault="00922A5D" w:rsidP="001A60C4">
      <w:pPr>
        <w:spacing w:after="0"/>
        <w:ind w:right="424"/>
        <w:rPr>
          <w:rFonts w:ascii="Georgia" w:hAnsi="Georgia"/>
          <w:lang w:val="da-DK" w:eastAsia="da-DK"/>
        </w:rPr>
      </w:pPr>
    </w:p>
    <w:p w14:paraId="189365ED" w14:textId="77777777" w:rsidR="00BF7C89" w:rsidRDefault="00BF7C89" w:rsidP="001A60C4">
      <w:pPr>
        <w:spacing w:after="0"/>
        <w:ind w:right="424"/>
        <w:rPr>
          <w:rFonts w:ascii="Georgia" w:hAnsi="Georgia"/>
          <w:lang w:val="da-DK" w:eastAsia="da-DK"/>
        </w:rPr>
      </w:pPr>
    </w:p>
    <w:p w14:paraId="69B9F229" w14:textId="77777777" w:rsidR="0022501B" w:rsidRPr="00E2368A" w:rsidRDefault="00E2368A" w:rsidP="001A60C4">
      <w:pPr>
        <w:spacing w:after="0"/>
        <w:ind w:right="424"/>
        <w:rPr>
          <w:rFonts w:ascii="Georgia" w:hAnsi="Georgia"/>
          <w:b/>
          <w:lang w:val="da-DK" w:eastAsia="da-DK"/>
        </w:rPr>
      </w:pPr>
      <w:r w:rsidRPr="00E2368A">
        <w:rPr>
          <w:rFonts w:ascii="Georgia" w:hAnsi="Georgia"/>
          <w:b/>
          <w:lang w:val="da-DK" w:eastAsia="da-DK"/>
        </w:rPr>
        <w:t xml:space="preserve">Beregning af gebyret for kødkontrol på store slagterier  </w:t>
      </w:r>
      <w:r w:rsidR="0022501B" w:rsidRPr="00E2368A">
        <w:rPr>
          <w:rFonts w:ascii="Georgia" w:hAnsi="Georgia"/>
          <w:b/>
          <w:lang w:val="da-DK" w:eastAsia="da-DK"/>
        </w:rPr>
        <w:t xml:space="preserve"> </w:t>
      </w:r>
    </w:p>
    <w:p w14:paraId="1D8C1086" w14:textId="77777777" w:rsidR="00DC528A" w:rsidRPr="00CC4F7F" w:rsidRDefault="00E2368A" w:rsidP="00DC528A">
      <w:pPr>
        <w:spacing w:after="0"/>
        <w:ind w:right="424"/>
        <w:rPr>
          <w:rFonts w:ascii="Georgia" w:hAnsi="Georgia"/>
          <w:lang w:val="da-DK" w:eastAsia="da-DK"/>
        </w:rPr>
      </w:pPr>
      <w:r>
        <w:rPr>
          <w:rFonts w:ascii="Georgia" w:hAnsi="Georgia"/>
          <w:lang w:val="da-DK" w:eastAsia="da-DK"/>
        </w:rPr>
        <w:t xml:space="preserve">I </w:t>
      </w:r>
      <w:proofErr w:type="spellStart"/>
      <w:r>
        <w:rPr>
          <w:rFonts w:ascii="Georgia" w:hAnsi="Georgia"/>
          <w:lang w:val="da-DK" w:eastAsia="da-DK"/>
        </w:rPr>
        <w:t>betalingsbekendtgørelsen</w:t>
      </w:r>
      <w:proofErr w:type="spellEnd"/>
      <w:r>
        <w:rPr>
          <w:rFonts w:ascii="Georgia" w:hAnsi="Georgia"/>
          <w:lang w:val="da-DK" w:eastAsia="da-DK"/>
        </w:rPr>
        <w:t xml:space="preserve"> § 3-7 er beskrevet hvordan gebyret for kødkontrol på store slagterier er beregnet.</w:t>
      </w:r>
      <w:r w:rsidR="00CC4F7F">
        <w:rPr>
          <w:rFonts w:ascii="Georgia" w:hAnsi="Georgia"/>
          <w:lang w:val="da-DK" w:eastAsia="da-DK"/>
        </w:rPr>
        <w:t xml:space="preserve"> De direkte </w:t>
      </w:r>
      <w:r w:rsidR="00CC4F7F" w:rsidRPr="00DC528A">
        <w:rPr>
          <w:rFonts w:ascii="Georgia" w:hAnsi="Georgia"/>
          <w:lang w:val="da-DK" w:eastAsia="da-DK"/>
        </w:rPr>
        <w:t xml:space="preserve">kontrolomkostninger på hver enkelt virksomhed omfatter løn m.v. til kontrolpersonalet og øvrige personaleudgifter forbundet med det til virksomheden knyttede kontrolpersonale. </w:t>
      </w:r>
      <w:r w:rsidR="00DC528A" w:rsidRPr="00DC528A">
        <w:rPr>
          <w:rFonts w:ascii="Georgia" w:hAnsi="Georgia"/>
          <w:lang w:val="da-DK" w:eastAsia="da-DK"/>
        </w:rPr>
        <w:t>I de direkte kontrolomkostninger indgår endvidere udgifter til laboratoriemæssig undersøgelse af prøver og administrationsudgifter i forbindelse med kontrollens gennemførelse på den enkelte virksomhed.</w:t>
      </w:r>
      <w:r w:rsidR="00DC528A">
        <w:rPr>
          <w:rFonts w:ascii="Georgia" w:hAnsi="Georgia"/>
          <w:lang w:val="da-DK" w:eastAsia="da-DK"/>
        </w:rPr>
        <w:t xml:space="preserve"> Fællesomkostninger vedrører blandt andet</w:t>
      </w:r>
      <w:r w:rsidR="00DC528A" w:rsidRPr="00DC528A">
        <w:rPr>
          <w:rFonts w:ascii="Georgia" w:hAnsi="Georgia"/>
          <w:lang w:val="da-DK" w:eastAsia="da-DK"/>
        </w:rPr>
        <w:t xml:space="preserve"> </w:t>
      </w:r>
      <w:r w:rsidR="00FE11E6">
        <w:rPr>
          <w:rFonts w:ascii="Georgia" w:hAnsi="Georgia"/>
          <w:lang w:val="da-DK" w:eastAsia="da-DK"/>
        </w:rPr>
        <w:t xml:space="preserve">administration af kontrollen. </w:t>
      </w:r>
      <w:r w:rsidR="00DC528A">
        <w:rPr>
          <w:rFonts w:ascii="Georgia" w:hAnsi="Georgia"/>
          <w:lang w:val="da-DK" w:eastAsia="da-DK"/>
        </w:rPr>
        <w:t xml:space="preserve"> </w:t>
      </w:r>
    </w:p>
    <w:p w14:paraId="2162A14D" w14:textId="77777777" w:rsidR="00BF7C89" w:rsidRPr="00CC4F7F" w:rsidRDefault="00DC528A" w:rsidP="00DC528A">
      <w:pPr>
        <w:spacing w:after="0"/>
        <w:ind w:right="424"/>
        <w:rPr>
          <w:rFonts w:ascii="Georgia" w:hAnsi="Georgia"/>
          <w:lang w:val="da-DK" w:eastAsia="da-DK"/>
        </w:rPr>
      </w:pPr>
      <w:r>
        <w:rPr>
          <w:rFonts w:ascii="Georgia" w:hAnsi="Georgia"/>
          <w:lang w:val="da-DK" w:eastAsia="da-DK"/>
        </w:rPr>
        <w:t xml:space="preserve"> </w:t>
      </w:r>
    </w:p>
    <w:p w14:paraId="5FD2B86C" w14:textId="61EE9EC3" w:rsidR="00FE11E6" w:rsidRDefault="00FE11E6" w:rsidP="00FE11E6">
      <w:pPr>
        <w:spacing w:after="0"/>
        <w:ind w:right="424"/>
        <w:rPr>
          <w:rFonts w:ascii="Georgia" w:hAnsi="Georgia"/>
          <w:lang w:val="da-DK" w:eastAsia="da-DK"/>
        </w:rPr>
      </w:pPr>
      <w:r>
        <w:rPr>
          <w:rFonts w:ascii="Georgia" w:hAnsi="Georgia"/>
          <w:lang w:val="da-DK" w:eastAsia="da-DK"/>
        </w:rPr>
        <w:t xml:space="preserve">De samlede udgifter i </w:t>
      </w:r>
      <w:r w:rsidR="00322B3F">
        <w:rPr>
          <w:rFonts w:ascii="Georgia" w:hAnsi="Georgia"/>
          <w:lang w:val="da-DK" w:eastAsia="da-DK"/>
        </w:rPr>
        <w:t>2022</w:t>
      </w:r>
      <w:r>
        <w:rPr>
          <w:rFonts w:ascii="Georgia" w:hAnsi="Georgia"/>
          <w:lang w:val="da-DK" w:eastAsia="da-DK"/>
        </w:rPr>
        <w:t xml:space="preserve"> til kødkontrol på store slagterier (både direkte udgifter og fællesomkostninger) var </w:t>
      </w:r>
      <w:r w:rsidR="00376214">
        <w:rPr>
          <w:rFonts w:ascii="Georgia" w:hAnsi="Georgia"/>
          <w:lang w:val="da-DK" w:eastAsia="da-DK"/>
        </w:rPr>
        <w:t>255,4 mio. kr.</w:t>
      </w:r>
      <w:r w:rsidR="006433D5">
        <w:rPr>
          <w:rFonts w:ascii="Georgia" w:hAnsi="Georgia"/>
          <w:lang w:val="da-DK" w:eastAsia="da-DK"/>
        </w:rPr>
        <w:t xml:space="preserve"> </w:t>
      </w:r>
    </w:p>
    <w:p w14:paraId="31FA02F1" w14:textId="77777777" w:rsidR="00617A49" w:rsidRDefault="00617A49" w:rsidP="001A60C4">
      <w:pPr>
        <w:spacing w:after="0"/>
        <w:ind w:right="424"/>
        <w:rPr>
          <w:rFonts w:ascii="Georgia" w:hAnsi="Georgia"/>
          <w:lang w:val="da-DK" w:eastAsia="da-DK"/>
        </w:rPr>
      </w:pPr>
    </w:p>
    <w:p w14:paraId="5F4FAD1E" w14:textId="77777777" w:rsidR="00A4363E" w:rsidRPr="001459C2" w:rsidRDefault="00617A49" w:rsidP="001A60C4">
      <w:pPr>
        <w:spacing w:after="0"/>
        <w:ind w:right="424"/>
        <w:rPr>
          <w:b/>
          <w:lang w:eastAsia="da-DK"/>
        </w:rPr>
      </w:pPr>
      <w:r w:rsidRPr="001459C2">
        <w:rPr>
          <w:b/>
        </w:rPr>
        <w:t>Links</w:t>
      </w:r>
      <w:r w:rsidRPr="001459C2">
        <w:rPr>
          <w:b/>
          <w:lang w:eastAsia="da-DK"/>
        </w:rPr>
        <w:t xml:space="preserve">: </w:t>
      </w:r>
    </w:p>
    <w:p w14:paraId="0EB14260" w14:textId="77777777" w:rsidR="002D4371" w:rsidRPr="001459C2" w:rsidRDefault="00617A49" w:rsidP="001A60C4">
      <w:pPr>
        <w:spacing w:after="0"/>
        <w:ind w:right="424"/>
        <w:rPr>
          <w:rFonts w:ascii="Georgia" w:hAnsi="Georgia"/>
          <w:lang w:eastAsia="da-DK"/>
        </w:rPr>
      </w:pPr>
      <w:proofErr w:type="spellStart"/>
      <w:r w:rsidRPr="001459C2">
        <w:rPr>
          <w:rFonts w:ascii="Georgia" w:hAnsi="Georgia"/>
          <w:lang w:eastAsia="da-DK"/>
        </w:rPr>
        <w:t>Budgetvejledning</w:t>
      </w:r>
      <w:proofErr w:type="spellEnd"/>
      <w:r w:rsidR="007E3217" w:rsidRPr="001459C2">
        <w:rPr>
          <w:rFonts w:ascii="Georgia" w:hAnsi="Georgia"/>
          <w:lang w:eastAsia="da-DK"/>
        </w:rPr>
        <w:t>:</w:t>
      </w:r>
    </w:p>
    <w:p w14:paraId="414C149F" w14:textId="77777777" w:rsidR="00617A49" w:rsidRPr="001459C2" w:rsidRDefault="00A637EE" w:rsidP="001A60C4">
      <w:pPr>
        <w:spacing w:after="0"/>
        <w:ind w:right="424"/>
        <w:rPr>
          <w:rFonts w:ascii="Georgia" w:hAnsi="Georgia"/>
          <w:lang w:eastAsia="da-DK"/>
        </w:rPr>
      </w:pPr>
      <w:hyperlink r:id="rId8" w:history="1">
        <w:r w:rsidR="00617A49" w:rsidRPr="001459C2">
          <w:rPr>
            <w:rFonts w:ascii="Georgia" w:hAnsi="Georgia"/>
            <w:lang w:eastAsia="da-DK"/>
          </w:rPr>
          <w:t>https://fm.dk/media/18805/budgetvejledning-2021_a.pdf</w:t>
        </w:r>
      </w:hyperlink>
      <w:r w:rsidR="007E3217" w:rsidRPr="001459C2">
        <w:rPr>
          <w:rFonts w:ascii="Georgia" w:hAnsi="Georgia"/>
          <w:lang w:eastAsia="da-DK"/>
        </w:rPr>
        <w:t xml:space="preserve"> </w:t>
      </w:r>
      <w:r w:rsidR="00617A49" w:rsidRPr="001459C2">
        <w:rPr>
          <w:rFonts w:ascii="Georgia" w:hAnsi="Georgia"/>
          <w:lang w:eastAsia="da-DK"/>
        </w:rPr>
        <w:t xml:space="preserve"> </w:t>
      </w:r>
      <w:r w:rsidR="007E3217" w:rsidRPr="001459C2">
        <w:rPr>
          <w:rFonts w:ascii="Georgia" w:hAnsi="Georgia"/>
          <w:lang w:eastAsia="da-DK"/>
        </w:rPr>
        <w:t xml:space="preserve"> </w:t>
      </w:r>
    </w:p>
    <w:p w14:paraId="1EBFF6FF" w14:textId="77777777" w:rsidR="007E3217" w:rsidRPr="001459C2" w:rsidRDefault="007E3217" w:rsidP="00617A49">
      <w:pPr>
        <w:spacing w:after="0"/>
        <w:ind w:right="424"/>
        <w:rPr>
          <w:rFonts w:ascii="Georgia" w:hAnsi="Georgia"/>
          <w:lang w:eastAsia="da-DK"/>
        </w:rPr>
      </w:pPr>
    </w:p>
    <w:p w14:paraId="4573694E" w14:textId="77777777" w:rsidR="002D4371" w:rsidRDefault="00617A49" w:rsidP="00617A49">
      <w:pPr>
        <w:spacing w:after="0"/>
        <w:ind w:right="424"/>
        <w:rPr>
          <w:rFonts w:ascii="Georgia" w:hAnsi="Georgia"/>
          <w:lang w:val="da-DK" w:eastAsia="da-DK"/>
        </w:rPr>
      </w:pPr>
      <w:r w:rsidRPr="002D4371">
        <w:rPr>
          <w:rFonts w:ascii="Georgia" w:hAnsi="Georgia"/>
          <w:lang w:val="da-DK" w:eastAsia="da-DK"/>
        </w:rPr>
        <w:t xml:space="preserve">Kontrolforordning: </w:t>
      </w:r>
    </w:p>
    <w:p w14:paraId="779BB8EA" w14:textId="77777777" w:rsidR="00617A49" w:rsidRPr="002D4371" w:rsidRDefault="004D764D" w:rsidP="00617A49">
      <w:pPr>
        <w:spacing w:after="0"/>
        <w:ind w:right="424"/>
        <w:rPr>
          <w:rFonts w:ascii="Georgia" w:hAnsi="Georgia"/>
          <w:lang w:val="da-DK" w:eastAsia="da-DK"/>
        </w:rPr>
      </w:pPr>
      <w:hyperlink r:id="rId9" w:history="1">
        <w:r w:rsidR="00617A49" w:rsidRPr="002D4371">
          <w:rPr>
            <w:rFonts w:ascii="Georgia" w:hAnsi="Georgia"/>
            <w:lang w:val="da-DK" w:eastAsia="da-DK"/>
          </w:rPr>
          <w:t>https://eur-lex.europa.eu/legal-content/DA/TXT/PDF/?uri=CELEX:32017R0625&amp;from=DA</w:t>
        </w:r>
      </w:hyperlink>
      <w:r w:rsidR="00617A49" w:rsidRPr="002D4371">
        <w:rPr>
          <w:rFonts w:ascii="Georgia" w:hAnsi="Georgia"/>
          <w:lang w:val="da-DK" w:eastAsia="da-DK"/>
        </w:rPr>
        <w:t xml:space="preserve"> </w:t>
      </w:r>
    </w:p>
    <w:p w14:paraId="2C11D235" w14:textId="77777777" w:rsidR="007E3217" w:rsidRPr="002D4371" w:rsidRDefault="007E3217" w:rsidP="00617A49">
      <w:pPr>
        <w:spacing w:after="0"/>
        <w:ind w:right="424"/>
        <w:rPr>
          <w:rFonts w:ascii="Georgia" w:hAnsi="Georgia"/>
          <w:lang w:val="da-DK" w:eastAsia="da-DK"/>
        </w:rPr>
      </w:pPr>
    </w:p>
    <w:p w14:paraId="42BA15FE" w14:textId="2C2C3994" w:rsidR="00617A49" w:rsidRPr="002D4371" w:rsidRDefault="007E3217" w:rsidP="00617A49">
      <w:pPr>
        <w:spacing w:after="0"/>
        <w:ind w:right="424"/>
        <w:rPr>
          <w:rFonts w:ascii="Georgia" w:hAnsi="Georgia"/>
          <w:lang w:val="da-DK" w:eastAsia="da-DK"/>
        </w:rPr>
      </w:pPr>
      <w:r w:rsidRPr="00F95E74">
        <w:rPr>
          <w:rFonts w:ascii="Georgia" w:hAnsi="Georgia"/>
          <w:lang w:val="da-DK" w:eastAsia="da-DK"/>
        </w:rPr>
        <w:t>Fødevarestyrelsens prisliste:</w:t>
      </w:r>
      <w:r w:rsidR="00322B3F">
        <w:rPr>
          <w:rFonts w:ascii="Georgia" w:hAnsi="Georgia"/>
          <w:lang w:val="da-DK" w:eastAsia="da-DK"/>
        </w:rPr>
        <w:t xml:space="preserve"> </w:t>
      </w:r>
      <w:r w:rsidRPr="00F95E74">
        <w:rPr>
          <w:rFonts w:ascii="Georgia" w:hAnsi="Georgia"/>
          <w:highlight w:val="yellow"/>
          <w:lang w:val="da-DK" w:eastAsia="da-DK"/>
        </w:rPr>
        <w:t xml:space="preserve"> </w:t>
      </w:r>
      <w:r w:rsidR="005252A9" w:rsidRPr="00F95E74">
        <w:rPr>
          <w:lang w:val="da-DK"/>
        </w:rPr>
        <w:t xml:space="preserve"> </w:t>
      </w:r>
      <w:r w:rsidR="00322B3F" w:rsidRPr="00322B3F">
        <w:rPr>
          <w:lang w:val="da-DK"/>
        </w:rPr>
        <w:t>https://foedevarestyrelsen.dk/Media/638242457996091714/F%C3%B8devarestyrelsens%20prisliste%202023-3.pdf</w:t>
      </w:r>
      <w:r w:rsidR="00322B3F" w:rsidRPr="00322B3F" w:rsidDel="00322B3F">
        <w:rPr>
          <w:lang w:val="da-DK"/>
        </w:rPr>
        <w:t xml:space="preserve"> </w:t>
      </w:r>
    </w:p>
    <w:p w14:paraId="77EA89D6" w14:textId="77777777" w:rsidR="007E3217" w:rsidRDefault="007E3217" w:rsidP="00617A49">
      <w:pPr>
        <w:spacing w:after="0"/>
        <w:ind w:right="424"/>
        <w:rPr>
          <w:rFonts w:ascii="Georgia" w:hAnsi="Georgia"/>
          <w:lang w:val="da-DK" w:eastAsia="da-DK"/>
        </w:rPr>
      </w:pPr>
    </w:p>
    <w:p w14:paraId="7BB6CB67" w14:textId="4AF81B67" w:rsidR="00686561" w:rsidRDefault="00686561" w:rsidP="00617A49">
      <w:pPr>
        <w:spacing w:after="0"/>
        <w:ind w:right="424"/>
        <w:rPr>
          <w:rFonts w:ascii="Georgia" w:hAnsi="Georgia"/>
          <w:lang w:val="da-DK" w:eastAsia="da-DK"/>
        </w:rPr>
      </w:pPr>
      <w:proofErr w:type="spellStart"/>
      <w:r>
        <w:rPr>
          <w:rFonts w:ascii="Georgia" w:hAnsi="Georgia"/>
          <w:lang w:val="da-DK" w:eastAsia="da-DK"/>
        </w:rPr>
        <w:t>Betalingsbekendtgørelsen</w:t>
      </w:r>
      <w:proofErr w:type="spellEnd"/>
      <w:r>
        <w:rPr>
          <w:rFonts w:ascii="Georgia" w:hAnsi="Georgia"/>
          <w:lang w:val="da-DK" w:eastAsia="da-DK"/>
        </w:rPr>
        <w:t xml:space="preserve">: </w:t>
      </w:r>
      <w:r w:rsidR="00322B3F" w:rsidRPr="00322B3F">
        <w:rPr>
          <w:rFonts w:ascii="Georgia" w:hAnsi="Georgia"/>
          <w:lang w:val="da-DK" w:eastAsia="da-DK"/>
        </w:rPr>
        <w:t>https://www.retsinformation.dk/eli/lta/2023/977</w:t>
      </w:r>
      <w:r w:rsidR="00322B3F" w:rsidRPr="003364AC">
        <w:rPr>
          <w:lang w:val="da-DK"/>
        </w:rPr>
        <w:t xml:space="preserve"> </w:t>
      </w:r>
    </w:p>
    <w:p w14:paraId="2EA62794" w14:textId="77777777" w:rsidR="00686561" w:rsidRPr="002D4371" w:rsidRDefault="00686561" w:rsidP="00617A49">
      <w:pPr>
        <w:spacing w:after="0"/>
        <w:ind w:right="424"/>
        <w:rPr>
          <w:rFonts w:ascii="Georgia" w:hAnsi="Georgia"/>
          <w:lang w:val="da-DK" w:eastAsia="da-DK"/>
        </w:rPr>
      </w:pPr>
    </w:p>
    <w:p w14:paraId="4301017E" w14:textId="77777777" w:rsidR="00322B3F" w:rsidRDefault="007E3217" w:rsidP="00617A49">
      <w:pPr>
        <w:spacing w:after="0"/>
        <w:ind w:right="424"/>
        <w:rPr>
          <w:rFonts w:ascii="Georgia" w:hAnsi="Georgia"/>
          <w:lang w:val="da-DK" w:eastAsia="da-DK"/>
        </w:rPr>
      </w:pPr>
      <w:r w:rsidRPr="002D4371">
        <w:rPr>
          <w:rFonts w:ascii="Georgia" w:hAnsi="Georgia"/>
          <w:lang w:val="da-DK" w:eastAsia="da-DK"/>
        </w:rPr>
        <w:t xml:space="preserve">Fødevarestyrelsens årsrapporter: </w:t>
      </w:r>
      <w:r w:rsidR="00617A49" w:rsidRPr="002D4371">
        <w:rPr>
          <w:rFonts w:ascii="Georgia" w:hAnsi="Georgia"/>
          <w:lang w:val="da-DK" w:eastAsia="da-DK"/>
        </w:rPr>
        <w:t xml:space="preserve"> </w:t>
      </w:r>
      <w:r w:rsidR="00322B3F" w:rsidRPr="00322B3F">
        <w:rPr>
          <w:rFonts w:ascii="Georgia" w:hAnsi="Georgia"/>
          <w:lang w:val="da-DK" w:eastAsia="da-DK"/>
        </w:rPr>
        <w:t>https://foedevarestyrelsen.dk/om-os/strategi-maal-og-resultater/aarsrapport-og-maal</w:t>
      </w:r>
      <w:r w:rsidR="00322B3F" w:rsidRPr="00322B3F" w:rsidDel="00322B3F">
        <w:rPr>
          <w:rFonts w:ascii="Georgia" w:hAnsi="Georgia"/>
          <w:lang w:val="da-DK" w:eastAsia="da-DK"/>
        </w:rPr>
        <w:t xml:space="preserve"> </w:t>
      </w:r>
      <w:r w:rsidR="00322B3F">
        <w:rPr>
          <w:rFonts w:ascii="Georgia" w:hAnsi="Georgia"/>
          <w:lang w:val="da-DK" w:eastAsia="da-DK"/>
        </w:rPr>
        <w:t xml:space="preserve"> </w:t>
      </w:r>
    </w:p>
    <w:p w14:paraId="374927AA" w14:textId="582588A9" w:rsidR="00617A49" w:rsidRPr="002D4371" w:rsidRDefault="00322B3F" w:rsidP="00617A49">
      <w:pPr>
        <w:spacing w:after="0"/>
        <w:ind w:right="424"/>
        <w:rPr>
          <w:rFonts w:ascii="Georgia" w:hAnsi="Georgia"/>
          <w:lang w:val="da-DK" w:eastAsia="da-DK"/>
        </w:rPr>
      </w:pPr>
      <w:hyperlink w:history="1"/>
      <w:hyperlink r:id="rId10" w:history="1"/>
      <w:r>
        <w:rPr>
          <w:rFonts w:ascii="Georgia" w:hAnsi="Georgia"/>
          <w:lang w:val="da-DK" w:eastAsia="da-DK"/>
        </w:rPr>
        <w:t xml:space="preserve"> </w:t>
      </w:r>
      <w:r w:rsidR="00990A11">
        <w:rPr>
          <w:rFonts w:ascii="Georgia" w:hAnsi="Georgia"/>
          <w:lang w:val="da-DK" w:eastAsia="da-DK"/>
        </w:rPr>
        <w:t xml:space="preserve"> </w:t>
      </w:r>
    </w:p>
    <w:p w14:paraId="0C8388DE" w14:textId="77777777" w:rsidR="00617A49" w:rsidRDefault="00617A49">
      <w:pPr>
        <w:rPr>
          <w:lang w:val="da-DK"/>
        </w:rPr>
      </w:pPr>
    </w:p>
    <w:p w14:paraId="2D26538A" w14:textId="77777777" w:rsidR="00617A49" w:rsidRPr="00F13836" w:rsidRDefault="00617A49">
      <w:pPr>
        <w:rPr>
          <w:lang w:val="da-DK"/>
        </w:rPr>
      </w:pPr>
    </w:p>
    <w:sectPr w:rsidR="00617A49" w:rsidRPr="00F13836" w:rsidSect="00990AE7">
      <w:headerReference w:type="default" r:id="rId11"/>
      <w:footerReference w:type="default" r:id="rId12"/>
      <w:headerReference w:type="first" r:id="rId13"/>
      <w:footerReference w:type="first" r:id="rId14"/>
      <w:pgSz w:w="11906" w:h="16838"/>
      <w:pgMar w:top="966" w:right="1134" w:bottom="1701" w:left="1134" w:header="680" w:footer="79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C8563" w16cex:dateUtc="2021-12-21T15:54:00Z"/>
  <w16cex:commentExtensible w16cex:durableId="256C7D39" w16cex:dateUtc="2021-12-21T15:20:00Z"/>
  <w16cex:commentExtensible w16cex:durableId="256C7CE9" w16cex:dateUtc="2021-12-21T15:18:00Z"/>
  <w16cex:commentExtensible w16cex:durableId="256C7E2F" w16cex:dateUtc="2021-12-21T15:24:00Z"/>
  <w16cex:commentExtensible w16cex:durableId="256C828B" w16cex:dateUtc="2021-12-21T15:42:00Z"/>
  <w16cex:commentExtensible w16cex:durableId="256C839E" w16cex:dateUtc="2021-12-21T15: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7E026" w14:textId="77777777" w:rsidR="00A637EE" w:rsidRDefault="00A637EE">
      <w:pPr>
        <w:spacing w:after="0" w:line="240" w:lineRule="auto"/>
      </w:pPr>
      <w:r>
        <w:separator/>
      </w:r>
    </w:p>
  </w:endnote>
  <w:endnote w:type="continuationSeparator" w:id="0">
    <w:p w14:paraId="0D2E046D" w14:textId="77777777" w:rsidR="00A637EE" w:rsidRDefault="00A6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BFB1" w14:textId="77777777" w:rsidR="005F2484" w:rsidRPr="00AD6A50" w:rsidRDefault="005737FA" w:rsidP="00AD6A50">
    <w:pPr>
      <w:pStyle w:val="Sidefod"/>
      <w:rPr>
        <w:rFonts w:ascii="Georgia" w:hAnsi="Georgia"/>
        <w:sz w:val="14"/>
        <w:szCs w:val="14"/>
        <w:lang w:val="da-DK"/>
      </w:rPr>
    </w:pPr>
    <w:r w:rsidRPr="00AD6A50">
      <w:rPr>
        <w:rFonts w:ascii="Georgia" w:hAnsi="Georgia"/>
        <w:sz w:val="14"/>
        <w:szCs w:val="14"/>
        <w:lang w:val="da-DK"/>
      </w:rPr>
      <w:t>Fødevarestyrelsen • Stationsparken 31-33 • DK-2600 Glostrup</w:t>
    </w:r>
  </w:p>
  <w:p w14:paraId="3F2FCE01" w14:textId="77777777" w:rsidR="005F2484" w:rsidRPr="00ED224B" w:rsidRDefault="005737FA" w:rsidP="00AD6A50">
    <w:pPr>
      <w:pStyle w:val="Sidefod"/>
      <w:rPr>
        <w:rFonts w:ascii="Georgia" w:hAnsi="Georgia"/>
        <w:sz w:val="14"/>
        <w:szCs w:val="14"/>
        <w:lang w:val="da-DK"/>
      </w:rPr>
    </w:pPr>
    <w:r w:rsidRPr="00ED224B">
      <w:rPr>
        <w:rFonts w:ascii="Georgia" w:hAnsi="Georgia"/>
        <w:sz w:val="14"/>
        <w:szCs w:val="14"/>
        <w:lang w:val="da-DK"/>
      </w:rPr>
      <w:t>Tel +45 72 27 69 00 • Fax +45 72 27 65 01 • CVR 62534516 • EAN 5798000986008 • www.fvst.dk/kontakt • www.fvst.dk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8D6A" w14:textId="77777777" w:rsidR="005F2484" w:rsidRPr="00AD6A50" w:rsidRDefault="00A637EE" w:rsidP="00AD6A50">
    <w:pPr>
      <w:pStyle w:val="Sidefod"/>
      <w:rPr>
        <w:rFonts w:ascii="Georgia" w:hAnsi="Georgia" w:cs="Arial"/>
        <w:sz w:val="18"/>
        <w:szCs w:val="18"/>
        <w:lang w:val="da-DK"/>
      </w:rPr>
    </w:pPr>
  </w:p>
  <w:p w14:paraId="7E7DDE1E" w14:textId="77777777" w:rsidR="005F2484" w:rsidRPr="00AD6A50" w:rsidRDefault="00A637EE">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4A598" w14:textId="77777777" w:rsidR="00A637EE" w:rsidRDefault="00A637EE">
      <w:pPr>
        <w:spacing w:after="0" w:line="240" w:lineRule="auto"/>
      </w:pPr>
      <w:r>
        <w:separator/>
      </w:r>
    </w:p>
  </w:footnote>
  <w:footnote w:type="continuationSeparator" w:id="0">
    <w:p w14:paraId="40B58939" w14:textId="77777777" w:rsidR="00A637EE" w:rsidRDefault="00A63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C708" w14:textId="387479C1" w:rsidR="005F2484" w:rsidRDefault="005737FA" w:rsidP="00AD6A50">
    <w:pPr>
      <w:pStyle w:val="Logo"/>
    </w:pPr>
    <w:r>
      <w:drawing>
        <wp:anchor distT="0" distB="0" distL="114300" distR="114300" simplePos="0" relativeHeight="251660288" behindDoc="0" locked="0" layoutInCell="1" allowOverlap="1" wp14:anchorId="27CE6F68" wp14:editId="35949E0E">
          <wp:simplePos x="0" y="0"/>
          <wp:positionH relativeFrom="column">
            <wp:posOffset>4108450</wp:posOffset>
          </wp:positionH>
          <wp:positionV relativeFrom="paragraph">
            <wp:posOffset>-79375</wp:posOffset>
          </wp:positionV>
          <wp:extent cx="1933575" cy="571500"/>
          <wp:effectExtent l="0" t="0" r="9525" b="0"/>
          <wp:wrapNone/>
          <wp:docPr id="7" name="Billede 7" descr="https://mfvm.dk/fileadmin/user_upload/MFVM/FVST-NY_RGB_2linjer.jpg"/>
          <wp:cNvGraphicFramePr/>
          <a:graphic xmlns:a="http://schemas.openxmlformats.org/drawingml/2006/main">
            <a:graphicData uri="http://schemas.openxmlformats.org/drawingml/2006/picture">
              <pic:pic xmlns:pic="http://schemas.openxmlformats.org/drawingml/2006/picture">
                <pic:nvPicPr>
                  <pic:cNvPr id="3" name="Billede 3" descr="https://mfvm.dk/fileadmin/user_upload/MFVM/FVST-NY_RGB_2linjer.jpg"/>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59264" behindDoc="0" locked="0" layoutInCell="1" allowOverlap="1" wp14:anchorId="21805E8C" wp14:editId="54B7E412">
              <wp:simplePos x="0" y="0"/>
              <wp:positionH relativeFrom="column">
                <wp:posOffset>14605</wp:posOffset>
              </wp:positionH>
              <wp:positionV relativeFrom="paragraph">
                <wp:posOffset>25400</wp:posOffset>
              </wp:positionV>
              <wp:extent cx="685800" cy="314325"/>
              <wp:effectExtent l="0" t="0" r="0" b="9525"/>
              <wp:wrapNone/>
              <wp:docPr id="2" name="Tekstboks 2"/>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04515" w14:textId="77777777" w:rsidR="005F2484" w:rsidRPr="00AD6A50" w:rsidRDefault="005737FA" w:rsidP="00AD6A50">
                          <w:pPr>
                            <w:rPr>
                              <w:rFonts w:ascii="Georgia" w:hAnsi="Georgia"/>
                              <w:sz w:val="20"/>
                              <w:szCs w:val="20"/>
                            </w:rPr>
                          </w:pPr>
                          <w:r w:rsidRPr="00AD6A50">
                            <w:rPr>
                              <w:rFonts w:ascii="Georgia" w:hAnsi="Georgia"/>
                              <w:sz w:val="20"/>
                              <w:szCs w:val="20"/>
                            </w:rPr>
                            <w:t>NOTAT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05E8C" id="_x0000_t202" coordsize="21600,21600" o:spt="202" path="m,l,21600r21600,l21600,xe">
              <v:stroke joinstyle="miter"/>
              <v:path gradientshapeok="t" o:connecttype="rect"/>
            </v:shapetype>
            <v:shape id="Tekstboks 2" o:spid="_x0000_s1026" type="#_x0000_t202" style="position:absolute;left:0;text-align:left;margin-left:1.15pt;margin-top:2pt;width:5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" fillcolor="white [3201]" stroked="f" strokeweight=".5pt">
              <v:textbox>
                <w:txbxContent>
                  <w:p w14:paraId="1E004515" w14:textId="77777777" w:rsidR="005F2484" w:rsidRPr="00AD6A50" w:rsidRDefault="005737FA" w:rsidP="00AD6A50">
                    <w:pPr>
                      <w:rPr>
                        <w:rFonts w:ascii="Georgia" w:hAnsi="Georgia"/>
                        <w:sz w:val="20"/>
                        <w:szCs w:val="20"/>
                      </w:rPr>
                    </w:pPr>
                    <w:r w:rsidRPr="00AD6A50">
                      <w:rPr>
                        <w:rFonts w:ascii="Georgia" w:hAnsi="Georgia"/>
                        <w:sz w:val="20"/>
                        <w:szCs w:val="20"/>
                      </w:rPr>
                      <w:t>NOTAT</w:t>
                    </w:r>
                  </w:p>
                </w:txbxContent>
              </v:textbox>
            </v:shape>
          </w:pict>
        </mc:Fallback>
      </mc:AlternateContent>
    </w:r>
  </w:p>
  <w:p w14:paraId="2F5021F3" w14:textId="77777777" w:rsidR="005F2484" w:rsidRDefault="00A637EE">
    <w:pPr>
      <w:pStyle w:val="Sidehoved"/>
    </w:pPr>
  </w:p>
  <w:p w14:paraId="303328EA" w14:textId="77777777" w:rsidR="005F2484" w:rsidRDefault="00A637EE">
    <w:pPr>
      <w:pStyle w:val="Sidehoved"/>
    </w:pPr>
  </w:p>
  <w:p w14:paraId="35B57758" w14:textId="77777777" w:rsidR="005F2484" w:rsidRDefault="00A637E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45248" w14:textId="5EA53118" w:rsidR="002877A7" w:rsidRDefault="005737FA" w:rsidP="002877A7">
    <w:pPr>
      <w:pStyle w:val="Logo"/>
    </w:pPr>
    <w:r>
      <w:drawing>
        <wp:anchor distT="0" distB="0" distL="114300" distR="114300" simplePos="0" relativeHeight="251662336" behindDoc="0" locked="0" layoutInCell="1" allowOverlap="1" wp14:anchorId="21DA9F70" wp14:editId="5B235BDC">
          <wp:simplePos x="0" y="0"/>
          <wp:positionH relativeFrom="column">
            <wp:posOffset>4108450</wp:posOffset>
          </wp:positionH>
          <wp:positionV relativeFrom="paragraph">
            <wp:posOffset>-79375</wp:posOffset>
          </wp:positionV>
          <wp:extent cx="1933575" cy="571500"/>
          <wp:effectExtent l="0" t="0" r="9525" b="0"/>
          <wp:wrapNone/>
          <wp:docPr id="9" name="Billede 9" descr="https://mfvm.dk/fileadmin/user_upload/MFVM/FVST-NY_RGB_2linjer.jpg"/>
          <wp:cNvGraphicFramePr/>
          <a:graphic xmlns:a="http://schemas.openxmlformats.org/drawingml/2006/main">
            <a:graphicData uri="http://schemas.openxmlformats.org/drawingml/2006/picture">
              <pic:pic xmlns:pic="http://schemas.openxmlformats.org/drawingml/2006/picture">
                <pic:nvPicPr>
                  <pic:cNvPr id="3" name="Billede 3" descr="https://mfvm.dk/fileadmin/user_upload/MFVM/FVST-NY_RGB_2linjer.jpg"/>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312" behindDoc="0" locked="0" layoutInCell="1" allowOverlap="1" wp14:anchorId="7687EE65" wp14:editId="57D192F9">
              <wp:simplePos x="0" y="0"/>
              <wp:positionH relativeFrom="column">
                <wp:posOffset>14605</wp:posOffset>
              </wp:positionH>
              <wp:positionV relativeFrom="paragraph">
                <wp:posOffset>25400</wp:posOffset>
              </wp:positionV>
              <wp:extent cx="685800" cy="314325"/>
              <wp:effectExtent l="0" t="0" r="0" b="9525"/>
              <wp:wrapNone/>
              <wp:docPr id="8" name="Tekstboks 2"/>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A600F" w14:textId="77777777" w:rsidR="002877A7" w:rsidRPr="00AD6A50" w:rsidRDefault="005737FA" w:rsidP="002877A7">
                          <w:pPr>
                            <w:rPr>
                              <w:rFonts w:ascii="Georgia" w:hAnsi="Georgia"/>
                              <w:sz w:val="20"/>
                              <w:szCs w:val="20"/>
                            </w:rPr>
                          </w:pPr>
                          <w:r w:rsidRPr="00AD6A50">
                            <w:rPr>
                              <w:rFonts w:ascii="Georgia" w:hAnsi="Georgia"/>
                              <w:sz w:val="20"/>
                              <w:szCs w:val="20"/>
                            </w:rPr>
                            <w:t>NOTAT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7EE65" id="_x0000_t202" coordsize="21600,21600" o:spt="202" path="m,l,21600r21600,l21600,xe">
              <v:stroke joinstyle="miter"/>
              <v:path gradientshapeok="t" o:connecttype="rect"/>
            </v:shapetype>
            <v:shape id="_x0000_s1027" type="#_x0000_t202" style="position:absolute;left:0;text-align:left;margin-left:1.15pt;margin-top:2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" fillcolor="white [3201]" stroked="f" strokeweight=".5pt">
              <v:textbox>
                <w:txbxContent>
                  <w:p w14:paraId="08EA600F" w14:textId="77777777" w:rsidR="002877A7" w:rsidRPr="00AD6A50" w:rsidRDefault="005737FA" w:rsidP="002877A7">
                    <w:pPr>
                      <w:rPr>
                        <w:rFonts w:ascii="Georgia" w:hAnsi="Georgia"/>
                        <w:sz w:val="20"/>
                        <w:szCs w:val="20"/>
                      </w:rPr>
                    </w:pPr>
                    <w:r w:rsidRPr="00AD6A50">
                      <w:rPr>
                        <w:rFonts w:ascii="Georgia" w:hAnsi="Georgia"/>
                        <w:sz w:val="20"/>
                        <w:szCs w:val="20"/>
                      </w:rPr>
                      <w:t>NOTAT</w:t>
                    </w:r>
                  </w:p>
                </w:txbxContent>
              </v:textbox>
            </v:shape>
          </w:pict>
        </mc:Fallback>
      </mc:AlternateContent>
    </w:r>
  </w:p>
  <w:p w14:paraId="477598B4" w14:textId="77777777" w:rsidR="002877A7" w:rsidRDefault="00A637EE" w:rsidP="002877A7">
    <w:pPr>
      <w:pStyle w:val="Sidehoved"/>
    </w:pPr>
  </w:p>
  <w:p w14:paraId="057017AC" w14:textId="77777777" w:rsidR="002877A7" w:rsidRDefault="00A637EE" w:rsidP="002877A7">
    <w:pPr>
      <w:pStyle w:val="Sidehoved"/>
    </w:pPr>
  </w:p>
  <w:p w14:paraId="3848D2A3" w14:textId="77777777" w:rsidR="002877A7" w:rsidRDefault="00A637E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223"/>
    <w:multiLevelType w:val="hybridMultilevel"/>
    <w:tmpl w:val="D8468720"/>
    <w:lvl w:ilvl="0" w:tplc="6DD4D610">
      <w:start w:val="1"/>
      <w:numFmt w:val="bullet"/>
      <w:lvlText w:val="•"/>
      <w:lvlJc w:val="left"/>
      <w:pPr>
        <w:tabs>
          <w:tab w:val="num" w:pos="720"/>
        </w:tabs>
        <w:ind w:left="720" w:hanging="360"/>
      </w:pPr>
      <w:rPr>
        <w:rFonts w:ascii="Arial" w:hAnsi="Arial" w:hint="default"/>
      </w:rPr>
    </w:lvl>
    <w:lvl w:ilvl="1" w:tplc="B88A2DFA">
      <w:start w:val="213"/>
      <w:numFmt w:val="bullet"/>
      <w:lvlText w:val="•"/>
      <w:lvlJc w:val="left"/>
      <w:pPr>
        <w:tabs>
          <w:tab w:val="num" w:pos="1440"/>
        </w:tabs>
        <w:ind w:left="1440" w:hanging="360"/>
      </w:pPr>
      <w:rPr>
        <w:rFonts w:ascii="Arial" w:hAnsi="Arial" w:hint="default"/>
      </w:rPr>
    </w:lvl>
    <w:lvl w:ilvl="2" w:tplc="56684638" w:tentative="1">
      <w:start w:val="1"/>
      <w:numFmt w:val="bullet"/>
      <w:lvlText w:val="•"/>
      <w:lvlJc w:val="left"/>
      <w:pPr>
        <w:tabs>
          <w:tab w:val="num" w:pos="2160"/>
        </w:tabs>
        <w:ind w:left="2160" w:hanging="360"/>
      </w:pPr>
      <w:rPr>
        <w:rFonts w:ascii="Arial" w:hAnsi="Arial" w:hint="default"/>
      </w:rPr>
    </w:lvl>
    <w:lvl w:ilvl="3" w:tplc="29307400" w:tentative="1">
      <w:start w:val="1"/>
      <w:numFmt w:val="bullet"/>
      <w:lvlText w:val="•"/>
      <w:lvlJc w:val="left"/>
      <w:pPr>
        <w:tabs>
          <w:tab w:val="num" w:pos="2880"/>
        </w:tabs>
        <w:ind w:left="2880" w:hanging="360"/>
      </w:pPr>
      <w:rPr>
        <w:rFonts w:ascii="Arial" w:hAnsi="Arial" w:hint="default"/>
      </w:rPr>
    </w:lvl>
    <w:lvl w:ilvl="4" w:tplc="B672A598" w:tentative="1">
      <w:start w:val="1"/>
      <w:numFmt w:val="bullet"/>
      <w:lvlText w:val="•"/>
      <w:lvlJc w:val="left"/>
      <w:pPr>
        <w:tabs>
          <w:tab w:val="num" w:pos="3600"/>
        </w:tabs>
        <w:ind w:left="3600" w:hanging="360"/>
      </w:pPr>
      <w:rPr>
        <w:rFonts w:ascii="Arial" w:hAnsi="Arial" w:hint="default"/>
      </w:rPr>
    </w:lvl>
    <w:lvl w:ilvl="5" w:tplc="313290F2" w:tentative="1">
      <w:start w:val="1"/>
      <w:numFmt w:val="bullet"/>
      <w:lvlText w:val="•"/>
      <w:lvlJc w:val="left"/>
      <w:pPr>
        <w:tabs>
          <w:tab w:val="num" w:pos="4320"/>
        </w:tabs>
        <w:ind w:left="4320" w:hanging="360"/>
      </w:pPr>
      <w:rPr>
        <w:rFonts w:ascii="Arial" w:hAnsi="Arial" w:hint="default"/>
      </w:rPr>
    </w:lvl>
    <w:lvl w:ilvl="6" w:tplc="32BE20CE" w:tentative="1">
      <w:start w:val="1"/>
      <w:numFmt w:val="bullet"/>
      <w:lvlText w:val="•"/>
      <w:lvlJc w:val="left"/>
      <w:pPr>
        <w:tabs>
          <w:tab w:val="num" w:pos="5040"/>
        </w:tabs>
        <w:ind w:left="5040" w:hanging="360"/>
      </w:pPr>
      <w:rPr>
        <w:rFonts w:ascii="Arial" w:hAnsi="Arial" w:hint="default"/>
      </w:rPr>
    </w:lvl>
    <w:lvl w:ilvl="7" w:tplc="D43EF024" w:tentative="1">
      <w:start w:val="1"/>
      <w:numFmt w:val="bullet"/>
      <w:lvlText w:val="•"/>
      <w:lvlJc w:val="left"/>
      <w:pPr>
        <w:tabs>
          <w:tab w:val="num" w:pos="5760"/>
        </w:tabs>
        <w:ind w:left="5760" w:hanging="360"/>
      </w:pPr>
      <w:rPr>
        <w:rFonts w:ascii="Arial" w:hAnsi="Arial" w:hint="default"/>
      </w:rPr>
    </w:lvl>
    <w:lvl w:ilvl="8" w:tplc="2B8860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67022"/>
    <w:multiLevelType w:val="hybridMultilevel"/>
    <w:tmpl w:val="3D960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1F27185"/>
    <w:multiLevelType w:val="hybridMultilevel"/>
    <w:tmpl w:val="B3F08CD4"/>
    <w:lvl w:ilvl="0" w:tplc="3A926FC4">
      <w:start w:val="1"/>
      <w:numFmt w:val="decimal"/>
      <w:lvlText w:val="%1."/>
      <w:lvlJc w:val="left"/>
      <w:pPr>
        <w:tabs>
          <w:tab w:val="num" w:pos="720"/>
        </w:tabs>
        <w:ind w:left="720" w:hanging="360"/>
      </w:pPr>
    </w:lvl>
    <w:lvl w:ilvl="1" w:tplc="3362B3C2" w:tentative="1">
      <w:start w:val="1"/>
      <w:numFmt w:val="decimal"/>
      <w:lvlText w:val="%2."/>
      <w:lvlJc w:val="left"/>
      <w:pPr>
        <w:tabs>
          <w:tab w:val="num" w:pos="1440"/>
        </w:tabs>
        <w:ind w:left="1440" w:hanging="360"/>
      </w:pPr>
    </w:lvl>
    <w:lvl w:ilvl="2" w:tplc="8ED29214" w:tentative="1">
      <w:start w:val="1"/>
      <w:numFmt w:val="decimal"/>
      <w:lvlText w:val="%3."/>
      <w:lvlJc w:val="left"/>
      <w:pPr>
        <w:tabs>
          <w:tab w:val="num" w:pos="2160"/>
        </w:tabs>
        <w:ind w:left="2160" w:hanging="360"/>
      </w:pPr>
    </w:lvl>
    <w:lvl w:ilvl="3" w:tplc="A3B62AC0" w:tentative="1">
      <w:start w:val="1"/>
      <w:numFmt w:val="decimal"/>
      <w:lvlText w:val="%4."/>
      <w:lvlJc w:val="left"/>
      <w:pPr>
        <w:tabs>
          <w:tab w:val="num" w:pos="2880"/>
        </w:tabs>
        <w:ind w:left="2880" w:hanging="360"/>
      </w:pPr>
    </w:lvl>
    <w:lvl w:ilvl="4" w:tplc="59DCA9B8" w:tentative="1">
      <w:start w:val="1"/>
      <w:numFmt w:val="decimal"/>
      <w:lvlText w:val="%5."/>
      <w:lvlJc w:val="left"/>
      <w:pPr>
        <w:tabs>
          <w:tab w:val="num" w:pos="3600"/>
        </w:tabs>
        <w:ind w:left="3600" w:hanging="360"/>
      </w:pPr>
    </w:lvl>
    <w:lvl w:ilvl="5" w:tplc="74D6C514" w:tentative="1">
      <w:start w:val="1"/>
      <w:numFmt w:val="decimal"/>
      <w:lvlText w:val="%6."/>
      <w:lvlJc w:val="left"/>
      <w:pPr>
        <w:tabs>
          <w:tab w:val="num" w:pos="4320"/>
        </w:tabs>
        <w:ind w:left="4320" w:hanging="360"/>
      </w:pPr>
    </w:lvl>
    <w:lvl w:ilvl="6" w:tplc="3D32F9BC" w:tentative="1">
      <w:start w:val="1"/>
      <w:numFmt w:val="decimal"/>
      <w:lvlText w:val="%7."/>
      <w:lvlJc w:val="left"/>
      <w:pPr>
        <w:tabs>
          <w:tab w:val="num" w:pos="5040"/>
        </w:tabs>
        <w:ind w:left="5040" w:hanging="360"/>
      </w:pPr>
    </w:lvl>
    <w:lvl w:ilvl="7" w:tplc="6DA60BEC" w:tentative="1">
      <w:start w:val="1"/>
      <w:numFmt w:val="decimal"/>
      <w:lvlText w:val="%8."/>
      <w:lvlJc w:val="left"/>
      <w:pPr>
        <w:tabs>
          <w:tab w:val="num" w:pos="5760"/>
        </w:tabs>
        <w:ind w:left="5760" w:hanging="360"/>
      </w:pPr>
    </w:lvl>
    <w:lvl w:ilvl="8" w:tplc="AB067B1E" w:tentative="1">
      <w:start w:val="1"/>
      <w:numFmt w:val="decimal"/>
      <w:lvlText w:val="%9."/>
      <w:lvlJc w:val="left"/>
      <w:pPr>
        <w:tabs>
          <w:tab w:val="num" w:pos="6480"/>
        </w:tabs>
        <w:ind w:left="6480" w:hanging="360"/>
      </w:pPr>
    </w:lvl>
  </w:abstractNum>
  <w:abstractNum w:abstractNumId="3" w15:restartNumberingAfterBreak="0">
    <w:nsid w:val="2769318A"/>
    <w:multiLevelType w:val="hybridMultilevel"/>
    <w:tmpl w:val="5584F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E05704"/>
    <w:multiLevelType w:val="hybridMultilevel"/>
    <w:tmpl w:val="F586DC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5CB71ED"/>
    <w:multiLevelType w:val="hybridMultilevel"/>
    <w:tmpl w:val="C5ACFDCA"/>
    <w:lvl w:ilvl="0" w:tplc="C6AA1D2A">
      <w:start w:val="1"/>
      <w:numFmt w:val="bullet"/>
      <w:lvlText w:val="•"/>
      <w:lvlJc w:val="left"/>
      <w:pPr>
        <w:tabs>
          <w:tab w:val="num" w:pos="720"/>
        </w:tabs>
        <w:ind w:left="720" w:hanging="360"/>
      </w:pPr>
      <w:rPr>
        <w:rFonts w:ascii="Arial" w:hAnsi="Arial" w:hint="default"/>
      </w:rPr>
    </w:lvl>
    <w:lvl w:ilvl="1" w:tplc="4714327A">
      <w:start w:val="1"/>
      <w:numFmt w:val="bullet"/>
      <w:lvlText w:val="•"/>
      <w:lvlJc w:val="left"/>
      <w:pPr>
        <w:tabs>
          <w:tab w:val="num" w:pos="1440"/>
        </w:tabs>
        <w:ind w:left="1440" w:hanging="360"/>
      </w:pPr>
      <w:rPr>
        <w:rFonts w:ascii="Arial" w:hAnsi="Arial" w:hint="default"/>
      </w:rPr>
    </w:lvl>
    <w:lvl w:ilvl="2" w:tplc="02909B82" w:tentative="1">
      <w:start w:val="1"/>
      <w:numFmt w:val="bullet"/>
      <w:lvlText w:val="•"/>
      <w:lvlJc w:val="left"/>
      <w:pPr>
        <w:tabs>
          <w:tab w:val="num" w:pos="2160"/>
        </w:tabs>
        <w:ind w:left="2160" w:hanging="360"/>
      </w:pPr>
      <w:rPr>
        <w:rFonts w:ascii="Arial" w:hAnsi="Arial" w:hint="default"/>
      </w:rPr>
    </w:lvl>
    <w:lvl w:ilvl="3" w:tplc="6E5C4990" w:tentative="1">
      <w:start w:val="1"/>
      <w:numFmt w:val="bullet"/>
      <w:lvlText w:val="•"/>
      <w:lvlJc w:val="left"/>
      <w:pPr>
        <w:tabs>
          <w:tab w:val="num" w:pos="2880"/>
        </w:tabs>
        <w:ind w:left="2880" w:hanging="360"/>
      </w:pPr>
      <w:rPr>
        <w:rFonts w:ascii="Arial" w:hAnsi="Arial" w:hint="default"/>
      </w:rPr>
    </w:lvl>
    <w:lvl w:ilvl="4" w:tplc="73C839E4" w:tentative="1">
      <w:start w:val="1"/>
      <w:numFmt w:val="bullet"/>
      <w:lvlText w:val="•"/>
      <w:lvlJc w:val="left"/>
      <w:pPr>
        <w:tabs>
          <w:tab w:val="num" w:pos="3600"/>
        </w:tabs>
        <w:ind w:left="3600" w:hanging="360"/>
      </w:pPr>
      <w:rPr>
        <w:rFonts w:ascii="Arial" w:hAnsi="Arial" w:hint="default"/>
      </w:rPr>
    </w:lvl>
    <w:lvl w:ilvl="5" w:tplc="2EA03506" w:tentative="1">
      <w:start w:val="1"/>
      <w:numFmt w:val="bullet"/>
      <w:lvlText w:val="•"/>
      <w:lvlJc w:val="left"/>
      <w:pPr>
        <w:tabs>
          <w:tab w:val="num" w:pos="4320"/>
        </w:tabs>
        <w:ind w:left="4320" w:hanging="360"/>
      </w:pPr>
      <w:rPr>
        <w:rFonts w:ascii="Arial" w:hAnsi="Arial" w:hint="default"/>
      </w:rPr>
    </w:lvl>
    <w:lvl w:ilvl="6" w:tplc="81446D32" w:tentative="1">
      <w:start w:val="1"/>
      <w:numFmt w:val="bullet"/>
      <w:lvlText w:val="•"/>
      <w:lvlJc w:val="left"/>
      <w:pPr>
        <w:tabs>
          <w:tab w:val="num" w:pos="5040"/>
        </w:tabs>
        <w:ind w:left="5040" w:hanging="360"/>
      </w:pPr>
      <w:rPr>
        <w:rFonts w:ascii="Arial" w:hAnsi="Arial" w:hint="default"/>
      </w:rPr>
    </w:lvl>
    <w:lvl w:ilvl="7" w:tplc="99C4990E" w:tentative="1">
      <w:start w:val="1"/>
      <w:numFmt w:val="bullet"/>
      <w:lvlText w:val="•"/>
      <w:lvlJc w:val="left"/>
      <w:pPr>
        <w:tabs>
          <w:tab w:val="num" w:pos="5760"/>
        </w:tabs>
        <w:ind w:left="5760" w:hanging="360"/>
      </w:pPr>
      <w:rPr>
        <w:rFonts w:ascii="Arial" w:hAnsi="Arial" w:hint="default"/>
      </w:rPr>
    </w:lvl>
    <w:lvl w:ilvl="8" w:tplc="3E5A5F2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iuK1XkjbjzhG30UvA0iRL+tL+X3t3oILQlLklmM7WgrOeBx+1QDdwyH+E3Utpyc2"/>
  </w:docVars>
  <w:rsids>
    <w:rsidRoot w:val="00F13836"/>
    <w:rsid w:val="000306DC"/>
    <w:rsid w:val="00035F79"/>
    <w:rsid w:val="00040E78"/>
    <w:rsid w:val="00084CB1"/>
    <w:rsid w:val="00097371"/>
    <w:rsid w:val="000A3D5F"/>
    <w:rsid w:val="000B673D"/>
    <w:rsid w:val="000D584E"/>
    <w:rsid w:val="0011460D"/>
    <w:rsid w:val="001459C2"/>
    <w:rsid w:val="0016519D"/>
    <w:rsid w:val="001706EA"/>
    <w:rsid w:val="0017780A"/>
    <w:rsid w:val="00192A15"/>
    <w:rsid w:val="001A52FD"/>
    <w:rsid w:val="001A60C4"/>
    <w:rsid w:val="001B3EBB"/>
    <w:rsid w:val="001E1FD2"/>
    <w:rsid w:val="001E41B4"/>
    <w:rsid w:val="001F4069"/>
    <w:rsid w:val="00204691"/>
    <w:rsid w:val="00220BB9"/>
    <w:rsid w:val="0022501B"/>
    <w:rsid w:val="00231B69"/>
    <w:rsid w:val="002440A5"/>
    <w:rsid w:val="0025750D"/>
    <w:rsid w:val="002718E8"/>
    <w:rsid w:val="00280371"/>
    <w:rsid w:val="002B438B"/>
    <w:rsid w:val="002C26FF"/>
    <w:rsid w:val="002D1F6B"/>
    <w:rsid w:val="002D4371"/>
    <w:rsid w:val="00305EAA"/>
    <w:rsid w:val="00322B3F"/>
    <w:rsid w:val="00323FF6"/>
    <w:rsid w:val="003364AC"/>
    <w:rsid w:val="003749C3"/>
    <w:rsid w:val="00376214"/>
    <w:rsid w:val="003820A5"/>
    <w:rsid w:val="00384E0E"/>
    <w:rsid w:val="003A266B"/>
    <w:rsid w:val="003D73CC"/>
    <w:rsid w:val="003E2E08"/>
    <w:rsid w:val="003E412D"/>
    <w:rsid w:val="004146EF"/>
    <w:rsid w:val="004604CD"/>
    <w:rsid w:val="0047407B"/>
    <w:rsid w:val="00477349"/>
    <w:rsid w:val="004A3466"/>
    <w:rsid w:val="004C5E85"/>
    <w:rsid w:val="004D50F1"/>
    <w:rsid w:val="004D764D"/>
    <w:rsid w:val="004F2D1E"/>
    <w:rsid w:val="004F2EB0"/>
    <w:rsid w:val="005252A9"/>
    <w:rsid w:val="00552C59"/>
    <w:rsid w:val="00552FB7"/>
    <w:rsid w:val="00555D05"/>
    <w:rsid w:val="00566A3D"/>
    <w:rsid w:val="005737FA"/>
    <w:rsid w:val="00575A0E"/>
    <w:rsid w:val="00595E80"/>
    <w:rsid w:val="005A15A7"/>
    <w:rsid w:val="005A2A0C"/>
    <w:rsid w:val="005C253A"/>
    <w:rsid w:val="005C2615"/>
    <w:rsid w:val="005F2F01"/>
    <w:rsid w:val="00610F87"/>
    <w:rsid w:val="00611313"/>
    <w:rsid w:val="006130D3"/>
    <w:rsid w:val="00617A49"/>
    <w:rsid w:val="00641030"/>
    <w:rsid w:val="006427FD"/>
    <w:rsid w:val="006433D5"/>
    <w:rsid w:val="0067416D"/>
    <w:rsid w:val="00686561"/>
    <w:rsid w:val="00691A62"/>
    <w:rsid w:val="0069755D"/>
    <w:rsid w:val="006A048F"/>
    <w:rsid w:val="006D7580"/>
    <w:rsid w:val="007B1D7B"/>
    <w:rsid w:val="007B3DD3"/>
    <w:rsid w:val="007C520E"/>
    <w:rsid w:val="007E3217"/>
    <w:rsid w:val="00801640"/>
    <w:rsid w:val="0081398F"/>
    <w:rsid w:val="00847B6A"/>
    <w:rsid w:val="00865B5F"/>
    <w:rsid w:val="008A4BEB"/>
    <w:rsid w:val="008F79DD"/>
    <w:rsid w:val="00922A5D"/>
    <w:rsid w:val="00933943"/>
    <w:rsid w:val="00962897"/>
    <w:rsid w:val="00975D61"/>
    <w:rsid w:val="00990A11"/>
    <w:rsid w:val="009A1639"/>
    <w:rsid w:val="009A2E05"/>
    <w:rsid w:val="009C267C"/>
    <w:rsid w:val="009C6770"/>
    <w:rsid w:val="009D55D4"/>
    <w:rsid w:val="009F2120"/>
    <w:rsid w:val="009F7A29"/>
    <w:rsid w:val="00A002A8"/>
    <w:rsid w:val="00A4363E"/>
    <w:rsid w:val="00A522C7"/>
    <w:rsid w:val="00A637EE"/>
    <w:rsid w:val="00A91249"/>
    <w:rsid w:val="00AD3B7B"/>
    <w:rsid w:val="00AE2165"/>
    <w:rsid w:val="00B0068F"/>
    <w:rsid w:val="00B46192"/>
    <w:rsid w:val="00B51856"/>
    <w:rsid w:val="00B63001"/>
    <w:rsid w:val="00B65C6F"/>
    <w:rsid w:val="00B72264"/>
    <w:rsid w:val="00BB75F6"/>
    <w:rsid w:val="00BD0C09"/>
    <w:rsid w:val="00BF7C89"/>
    <w:rsid w:val="00C24962"/>
    <w:rsid w:val="00C408D9"/>
    <w:rsid w:val="00C51F8C"/>
    <w:rsid w:val="00C52A25"/>
    <w:rsid w:val="00C72429"/>
    <w:rsid w:val="00C80DBD"/>
    <w:rsid w:val="00CB777C"/>
    <w:rsid w:val="00CC4F7F"/>
    <w:rsid w:val="00DC4339"/>
    <w:rsid w:val="00DC528A"/>
    <w:rsid w:val="00DD147E"/>
    <w:rsid w:val="00DD63B7"/>
    <w:rsid w:val="00E14673"/>
    <w:rsid w:val="00E15328"/>
    <w:rsid w:val="00E2368A"/>
    <w:rsid w:val="00E540D3"/>
    <w:rsid w:val="00EA736F"/>
    <w:rsid w:val="00EC0C01"/>
    <w:rsid w:val="00ED25FF"/>
    <w:rsid w:val="00EF7B9B"/>
    <w:rsid w:val="00F07D02"/>
    <w:rsid w:val="00F13836"/>
    <w:rsid w:val="00F1517C"/>
    <w:rsid w:val="00F20801"/>
    <w:rsid w:val="00F20EC0"/>
    <w:rsid w:val="00F26D08"/>
    <w:rsid w:val="00F317C9"/>
    <w:rsid w:val="00F67964"/>
    <w:rsid w:val="00F70651"/>
    <w:rsid w:val="00F95E74"/>
    <w:rsid w:val="00FB6DE0"/>
    <w:rsid w:val="00FE11E6"/>
    <w:rsid w:val="00FE21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62D41"/>
  <w15:chartTrackingRefBased/>
  <w15:docId w15:val="{B858CB2A-91C8-4BF0-98D5-C98E12CB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836"/>
    <w:pPr>
      <w:widowControl w:val="0"/>
      <w:spacing w:after="200" w:line="276" w:lineRule="auto"/>
    </w:pPr>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1383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13836"/>
    <w:rPr>
      <w:lang w:val="en-US"/>
    </w:rPr>
  </w:style>
  <w:style w:type="paragraph" w:styleId="Sidefod">
    <w:name w:val="footer"/>
    <w:basedOn w:val="Normal"/>
    <w:link w:val="SidefodTegn"/>
    <w:unhideWhenUsed/>
    <w:rsid w:val="00F13836"/>
    <w:pPr>
      <w:tabs>
        <w:tab w:val="center" w:pos="4819"/>
        <w:tab w:val="right" w:pos="9638"/>
      </w:tabs>
      <w:spacing w:after="0" w:line="240" w:lineRule="auto"/>
    </w:pPr>
  </w:style>
  <w:style w:type="character" w:customStyle="1" w:styleId="SidefodTegn">
    <w:name w:val="Sidefod Tegn"/>
    <w:basedOn w:val="Standardskrifttypeiafsnit"/>
    <w:link w:val="Sidefod"/>
    <w:rsid w:val="00F13836"/>
    <w:rPr>
      <w:lang w:val="en-US"/>
    </w:rPr>
  </w:style>
  <w:style w:type="paragraph" w:customStyle="1" w:styleId="Logo">
    <w:name w:val="Logo"/>
    <w:basedOn w:val="Sidehoved"/>
    <w:next w:val="Sidehoved"/>
    <w:uiPriority w:val="20"/>
    <w:unhideWhenUsed/>
    <w:rsid w:val="00F13836"/>
    <w:pPr>
      <w:widowControl/>
      <w:tabs>
        <w:tab w:val="clear" w:pos="4819"/>
        <w:tab w:val="clear" w:pos="9638"/>
      </w:tabs>
      <w:ind w:left="6475" w:right="-2608"/>
    </w:pPr>
    <w:rPr>
      <w:rFonts w:ascii="Georgia" w:hAnsi="Georgia"/>
      <w:noProof/>
      <w:sz w:val="20"/>
      <w:szCs w:val="20"/>
      <w:lang w:val="da-DK" w:eastAsia="da-DK"/>
    </w:rPr>
  </w:style>
  <w:style w:type="character" w:styleId="Kommentarhenvisning">
    <w:name w:val="annotation reference"/>
    <w:basedOn w:val="Standardskrifttypeiafsnit"/>
    <w:uiPriority w:val="99"/>
    <w:semiHidden/>
    <w:unhideWhenUsed/>
    <w:rsid w:val="00595E80"/>
    <w:rPr>
      <w:sz w:val="16"/>
      <w:szCs w:val="16"/>
    </w:rPr>
  </w:style>
  <w:style w:type="paragraph" w:styleId="Kommentartekst">
    <w:name w:val="annotation text"/>
    <w:basedOn w:val="Normal"/>
    <w:link w:val="KommentartekstTegn"/>
    <w:uiPriority w:val="99"/>
    <w:semiHidden/>
    <w:unhideWhenUsed/>
    <w:rsid w:val="00595E80"/>
    <w:pPr>
      <w:spacing w:line="240" w:lineRule="auto"/>
    </w:pPr>
    <w:rPr>
      <w:sz w:val="20"/>
      <w:szCs w:val="20"/>
    </w:rPr>
  </w:style>
  <w:style w:type="character" w:customStyle="1" w:styleId="KommentartekstTegn">
    <w:name w:val="Kommentartekst Tegn"/>
    <w:basedOn w:val="Standardskrifttypeiafsnit"/>
    <w:link w:val="Kommentartekst"/>
    <w:semiHidden/>
    <w:rsid w:val="00595E80"/>
    <w:rPr>
      <w:sz w:val="20"/>
      <w:szCs w:val="20"/>
      <w:lang w:val="en-US"/>
    </w:rPr>
  </w:style>
  <w:style w:type="paragraph" w:styleId="Kommentaremne">
    <w:name w:val="annotation subject"/>
    <w:basedOn w:val="Kommentartekst"/>
    <w:next w:val="Kommentartekst"/>
    <w:link w:val="KommentaremneTegn"/>
    <w:uiPriority w:val="99"/>
    <w:semiHidden/>
    <w:unhideWhenUsed/>
    <w:rsid w:val="00595E80"/>
    <w:rPr>
      <w:b/>
      <w:bCs/>
    </w:rPr>
  </w:style>
  <w:style w:type="character" w:customStyle="1" w:styleId="KommentaremneTegn">
    <w:name w:val="Kommentaremne Tegn"/>
    <w:basedOn w:val="KommentartekstTegn"/>
    <w:link w:val="Kommentaremne"/>
    <w:uiPriority w:val="99"/>
    <w:semiHidden/>
    <w:rsid w:val="00595E80"/>
    <w:rPr>
      <w:b/>
      <w:bCs/>
      <w:sz w:val="20"/>
      <w:szCs w:val="20"/>
      <w:lang w:val="en-US"/>
    </w:rPr>
  </w:style>
  <w:style w:type="paragraph" w:styleId="Markeringsbobletekst">
    <w:name w:val="Balloon Text"/>
    <w:basedOn w:val="Normal"/>
    <w:link w:val="MarkeringsbobletekstTegn"/>
    <w:uiPriority w:val="99"/>
    <w:semiHidden/>
    <w:unhideWhenUsed/>
    <w:rsid w:val="00595E8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5E80"/>
    <w:rPr>
      <w:rFonts w:ascii="Segoe UI" w:hAnsi="Segoe UI" w:cs="Segoe UI"/>
      <w:sz w:val="18"/>
      <w:szCs w:val="18"/>
      <w:lang w:val="en-US"/>
    </w:rPr>
  </w:style>
  <w:style w:type="character" w:styleId="Hyperlink">
    <w:name w:val="Hyperlink"/>
    <w:basedOn w:val="Standardskrifttypeiafsnit"/>
    <w:uiPriority w:val="99"/>
    <w:unhideWhenUsed/>
    <w:rsid w:val="009F2120"/>
    <w:rPr>
      <w:color w:val="0563C1" w:themeColor="hyperlink"/>
      <w:u w:val="single"/>
    </w:rPr>
  </w:style>
  <w:style w:type="paragraph" w:customStyle="1" w:styleId="stk2">
    <w:name w:val="stk2"/>
    <w:basedOn w:val="Normal"/>
    <w:rsid w:val="00DC528A"/>
    <w:pPr>
      <w:widowControl/>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BesgtLink">
    <w:name w:val="FollowedHyperlink"/>
    <w:basedOn w:val="Standardskrifttypeiafsnit"/>
    <w:uiPriority w:val="99"/>
    <w:semiHidden/>
    <w:unhideWhenUsed/>
    <w:rsid w:val="00231B69"/>
    <w:rPr>
      <w:color w:val="954F72" w:themeColor="followedHyperlink"/>
      <w:u w:val="single"/>
    </w:rPr>
  </w:style>
  <w:style w:type="character" w:styleId="Ulstomtale">
    <w:name w:val="Unresolved Mention"/>
    <w:basedOn w:val="Standardskrifttypeiafsnit"/>
    <w:uiPriority w:val="99"/>
    <w:semiHidden/>
    <w:unhideWhenUsed/>
    <w:rsid w:val="00322B3F"/>
    <w:rPr>
      <w:color w:val="605E5C"/>
      <w:shd w:val="clear" w:color="auto" w:fill="E1DFDD"/>
    </w:rPr>
  </w:style>
  <w:style w:type="paragraph" w:styleId="NormalWeb">
    <w:name w:val="Normal (Web)"/>
    <w:basedOn w:val="Normal"/>
    <w:uiPriority w:val="99"/>
    <w:unhideWhenUsed/>
    <w:rsid w:val="00B46192"/>
    <w:pPr>
      <w:widowControl/>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styleId="Listeafsnit">
    <w:name w:val="List Paragraph"/>
    <w:basedOn w:val="Normal"/>
    <w:uiPriority w:val="34"/>
    <w:qFormat/>
    <w:rsid w:val="00B46192"/>
    <w:pPr>
      <w:widowControl/>
      <w:spacing w:after="0" w:line="240" w:lineRule="auto"/>
      <w:ind w:left="720"/>
      <w:contextualSpacing/>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59904">
      <w:bodyDiv w:val="1"/>
      <w:marLeft w:val="0"/>
      <w:marRight w:val="0"/>
      <w:marTop w:val="0"/>
      <w:marBottom w:val="0"/>
      <w:divBdr>
        <w:top w:val="none" w:sz="0" w:space="0" w:color="auto"/>
        <w:left w:val="none" w:sz="0" w:space="0" w:color="auto"/>
        <w:bottom w:val="none" w:sz="0" w:space="0" w:color="auto"/>
        <w:right w:val="none" w:sz="0" w:space="0" w:color="auto"/>
      </w:divBdr>
    </w:div>
    <w:div w:id="368143596">
      <w:bodyDiv w:val="1"/>
      <w:marLeft w:val="0"/>
      <w:marRight w:val="0"/>
      <w:marTop w:val="0"/>
      <w:marBottom w:val="0"/>
      <w:divBdr>
        <w:top w:val="none" w:sz="0" w:space="0" w:color="auto"/>
        <w:left w:val="none" w:sz="0" w:space="0" w:color="auto"/>
        <w:bottom w:val="none" w:sz="0" w:space="0" w:color="auto"/>
        <w:right w:val="none" w:sz="0" w:space="0" w:color="auto"/>
      </w:divBdr>
      <w:divsChild>
        <w:div w:id="881749620">
          <w:marLeft w:val="979"/>
          <w:marRight w:val="0"/>
          <w:marTop w:val="0"/>
          <w:marBottom w:val="0"/>
          <w:divBdr>
            <w:top w:val="none" w:sz="0" w:space="0" w:color="auto"/>
            <w:left w:val="none" w:sz="0" w:space="0" w:color="auto"/>
            <w:bottom w:val="none" w:sz="0" w:space="0" w:color="auto"/>
            <w:right w:val="none" w:sz="0" w:space="0" w:color="auto"/>
          </w:divBdr>
        </w:div>
        <w:div w:id="1469318929">
          <w:marLeft w:val="979"/>
          <w:marRight w:val="0"/>
          <w:marTop w:val="0"/>
          <w:marBottom w:val="0"/>
          <w:divBdr>
            <w:top w:val="none" w:sz="0" w:space="0" w:color="auto"/>
            <w:left w:val="none" w:sz="0" w:space="0" w:color="auto"/>
            <w:bottom w:val="none" w:sz="0" w:space="0" w:color="auto"/>
            <w:right w:val="none" w:sz="0" w:space="0" w:color="auto"/>
          </w:divBdr>
        </w:div>
      </w:divsChild>
    </w:div>
    <w:div w:id="1310788757">
      <w:bodyDiv w:val="1"/>
      <w:marLeft w:val="0"/>
      <w:marRight w:val="0"/>
      <w:marTop w:val="0"/>
      <w:marBottom w:val="0"/>
      <w:divBdr>
        <w:top w:val="none" w:sz="0" w:space="0" w:color="auto"/>
        <w:left w:val="none" w:sz="0" w:space="0" w:color="auto"/>
        <w:bottom w:val="none" w:sz="0" w:space="0" w:color="auto"/>
        <w:right w:val="none" w:sz="0" w:space="0" w:color="auto"/>
      </w:divBdr>
      <w:divsChild>
        <w:div w:id="751119015">
          <w:marLeft w:val="1166"/>
          <w:marRight w:val="0"/>
          <w:marTop w:val="0"/>
          <w:marBottom w:val="0"/>
          <w:divBdr>
            <w:top w:val="none" w:sz="0" w:space="0" w:color="auto"/>
            <w:left w:val="none" w:sz="0" w:space="0" w:color="auto"/>
            <w:bottom w:val="none" w:sz="0" w:space="0" w:color="auto"/>
            <w:right w:val="none" w:sz="0" w:space="0" w:color="auto"/>
          </w:divBdr>
        </w:div>
      </w:divsChild>
    </w:div>
    <w:div w:id="1559903250">
      <w:bodyDiv w:val="1"/>
      <w:marLeft w:val="0"/>
      <w:marRight w:val="0"/>
      <w:marTop w:val="0"/>
      <w:marBottom w:val="0"/>
      <w:divBdr>
        <w:top w:val="none" w:sz="0" w:space="0" w:color="auto"/>
        <w:left w:val="none" w:sz="0" w:space="0" w:color="auto"/>
        <w:bottom w:val="none" w:sz="0" w:space="0" w:color="auto"/>
        <w:right w:val="none" w:sz="0" w:space="0" w:color="auto"/>
      </w:divBdr>
      <w:divsChild>
        <w:div w:id="673528937">
          <w:marLeft w:val="446"/>
          <w:marRight w:val="0"/>
          <w:marTop w:val="0"/>
          <w:marBottom w:val="0"/>
          <w:divBdr>
            <w:top w:val="none" w:sz="0" w:space="0" w:color="auto"/>
            <w:left w:val="none" w:sz="0" w:space="0" w:color="auto"/>
            <w:bottom w:val="none" w:sz="0" w:space="0" w:color="auto"/>
            <w:right w:val="none" w:sz="0" w:space="0" w:color="auto"/>
          </w:divBdr>
        </w:div>
        <w:div w:id="62066020">
          <w:marLeft w:val="1166"/>
          <w:marRight w:val="0"/>
          <w:marTop w:val="0"/>
          <w:marBottom w:val="0"/>
          <w:divBdr>
            <w:top w:val="none" w:sz="0" w:space="0" w:color="auto"/>
            <w:left w:val="none" w:sz="0" w:space="0" w:color="auto"/>
            <w:bottom w:val="none" w:sz="0" w:space="0" w:color="auto"/>
            <w:right w:val="none" w:sz="0" w:space="0" w:color="auto"/>
          </w:divBdr>
        </w:div>
        <w:div w:id="1001274249">
          <w:marLeft w:val="1166"/>
          <w:marRight w:val="0"/>
          <w:marTop w:val="0"/>
          <w:marBottom w:val="0"/>
          <w:divBdr>
            <w:top w:val="none" w:sz="0" w:space="0" w:color="auto"/>
            <w:left w:val="none" w:sz="0" w:space="0" w:color="auto"/>
            <w:bottom w:val="none" w:sz="0" w:space="0" w:color="auto"/>
            <w:right w:val="none" w:sz="0" w:space="0" w:color="auto"/>
          </w:divBdr>
        </w:div>
        <w:div w:id="1145469039">
          <w:marLeft w:val="1166"/>
          <w:marRight w:val="0"/>
          <w:marTop w:val="0"/>
          <w:marBottom w:val="0"/>
          <w:divBdr>
            <w:top w:val="none" w:sz="0" w:space="0" w:color="auto"/>
            <w:left w:val="none" w:sz="0" w:space="0" w:color="auto"/>
            <w:bottom w:val="none" w:sz="0" w:space="0" w:color="auto"/>
            <w:right w:val="none" w:sz="0" w:space="0" w:color="auto"/>
          </w:divBdr>
        </w:div>
      </w:divsChild>
    </w:div>
    <w:div w:id="1565678260">
      <w:bodyDiv w:val="1"/>
      <w:marLeft w:val="0"/>
      <w:marRight w:val="0"/>
      <w:marTop w:val="0"/>
      <w:marBottom w:val="0"/>
      <w:divBdr>
        <w:top w:val="none" w:sz="0" w:space="0" w:color="auto"/>
        <w:left w:val="none" w:sz="0" w:space="0" w:color="auto"/>
        <w:bottom w:val="none" w:sz="0" w:space="0" w:color="auto"/>
        <w:right w:val="none" w:sz="0" w:space="0" w:color="auto"/>
      </w:divBdr>
    </w:div>
    <w:div w:id="1861888674">
      <w:bodyDiv w:val="1"/>
      <w:marLeft w:val="0"/>
      <w:marRight w:val="0"/>
      <w:marTop w:val="0"/>
      <w:marBottom w:val="0"/>
      <w:divBdr>
        <w:top w:val="none" w:sz="0" w:space="0" w:color="auto"/>
        <w:left w:val="none" w:sz="0" w:space="0" w:color="auto"/>
        <w:bottom w:val="none" w:sz="0" w:space="0" w:color="auto"/>
        <w:right w:val="none" w:sz="0" w:space="0" w:color="auto"/>
      </w:divBdr>
    </w:div>
    <w:div w:id="19993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dk/media/18805/budgetvejledning-2021_a.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edevarestyrelsen.dk/OmFoedevarestyrelsen/Strategi/Mission_vision_vaerdier/Maal_og_resultater/AArsrapporter/Sider/forside.aspx" TargetMode="External"/><Relationship Id="rId4" Type="http://schemas.openxmlformats.org/officeDocument/2006/relationships/settings" Target="settings.xml"/><Relationship Id="rId9" Type="http://schemas.openxmlformats.org/officeDocument/2006/relationships/hyperlink" Target="https://eur-lex.europa.eu/legal-content/DA/TXT/PDF/?uri=CELEX:32017R0625&amp;from=D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65D43-BAD2-42A4-8E60-70BAD9F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1105</Words>
  <Characters>6742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Kundby</dc:creator>
  <cp:keywords/>
  <dc:description/>
  <cp:lastModifiedBy>Jacob Hørslev Christiansen (FVST)</cp:lastModifiedBy>
  <cp:revision>11</cp:revision>
  <dcterms:created xsi:type="dcterms:W3CDTF">2023-11-29T13:24:00Z</dcterms:created>
  <dcterms:modified xsi:type="dcterms:W3CDTF">2023-11-30T08:38:00Z</dcterms:modified>
</cp:coreProperties>
</file>